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45108476" w14:textId="77777777" w:rsidTr="00876A8A">
        <w:trPr>
          <w:cantSplit/>
        </w:trPr>
        <w:tc>
          <w:tcPr>
            <w:tcW w:w="6487" w:type="dxa"/>
            <w:vAlign w:val="center"/>
          </w:tcPr>
          <w:p w14:paraId="097C9D53"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0CAC3240" w14:textId="77777777" w:rsidR="009F6520" w:rsidRDefault="00D45D74" w:rsidP="00D45D74">
            <w:pPr>
              <w:shd w:val="solid" w:color="FFFFFF" w:fill="FFFFFF"/>
              <w:spacing w:before="0" w:line="240" w:lineRule="atLeast"/>
            </w:pPr>
            <w:bookmarkStart w:id="0" w:name="ditulogo"/>
            <w:bookmarkEnd w:id="0"/>
            <w:r w:rsidRPr="00E8501D">
              <w:rPr>
                <w:b/>
                <w:bCs/>
                <w:noProof/>
                <w:sz w:val="20"/>
                <w:lang w:eastAsia="en-GB"/>
              </w:rPr>
              <w:drawing>
                <wp:inline distT="0" distB="0" distL="0" distR="0" wp14:anchorId="09276871" wp14:editId="47DE625C">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2C989DD1" w14:textId="77777777" w:rsidTr="00876A8A">
        <w:trPr>
          <w:cantSplit/>
        </w:trPr>
        <w:tc>
          <w:tcPr>
            <w:tcW w:w="6487" w:type="dxa"/>
            <w:tcBorders>
              <w:bottom w:val="single" w:sz="12" w:space="0" w:color="auto"/>
            </w:tcBorders>
          </w:tcPr>
          <w:p w14:paraId="25B67A16"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47661F3"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CED2ED9" w14:textId="77777777" w:rsidTr="00876A8A">
        <w:trPr>
          <w:cantSplit/>
        </w:trPr>
        <w:tc>
          <w:tcPr>
            <w:tcW w:w="6487" w:type="dxa"/>
            <w:tcBorders>
              <w:top w:val="single" w:sz="12" w:space="0" w:color="auto"/>
            </w:tcBorders>
          </w:tcPr>
          <w:p w14:paraId="75EB1C09"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79F7F8D" w14:textId="77777777" w:rsidR="000069D4" w:rsidRPr="00710D66" w:rsidRDefault="000069D4" w:rsidP="00A5173C">
            <w:pPr>
              <w:shd w:val="solid" w:color="FFFFFF" w:fill="FFFFFF"/>
              <w:spacing w:before="0" w:after="48" w:line="240" w:lineRule="atLeast"/>
              <w:rPr>
                <w:lang w:val="en-US"/>
              </w:rPr>
            </w:pPr>
          </w:p>
        </w:tc>
      </w:tr>
      <w:tr w:rsidR="000069D4" w14:paraId="3BBEBC6A" w14:textId="77777777" w:rsidTr="00876A8A">
        <w:trPr>
          <w:cantSplit/>
        </w:trPr>
        <w:tc>
          <w:tcPr>
            <w:tcW w:w="6487" w:type="dxa"/>
            <w:vMerge w:val="restart"/>
          </w:tcPr>
          <w:p w14:paraId="522B0084" w14:textId="77777777" w:rsidR="000069D4" w:rsidRPr="00DA10EA" w:rsidRDefault="00B9168B" w:rsidP="00D41033">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DA10EA">
              <w:rPr>
                <w:rFonts w:ascii="Verdana" w:hAnsi="Verdana"/>
                <w:sz w:val="20"/>
                <w:lang w:val="fr-CH"/>
              </w:rPr>
              <w:t>Source:</w:t>
            </w:r>
            <w:r w:rsidRPr="00DA10EA">
              <w:rPr>
                <w:rFonts w:ascii="Verdana" w:hAnsi="Verdana"/>
                <w:sz w:val="20"/>
                <w:lang w:val="fr-CH"/>
              </w:rPr>
              <w:tab/>
              <w:t xml:space="preserve">Document </w:t>
            </w:r>
            <w:r w:rsidR="00D41033">
              <w:rPr>
                <w:rFonts w:ascii="Verdana" w:hAnsi="Verdana"/>
                <w:sz w:val="20"/>
                <w:lang w:val="fr-CH"/>
              </w:rPr>
              <w:t>1A/TEMP/168 (edited)</w:t>
            </w:r>
            <w:r w:rsidR="00D41033" w:rsidRPr="00DA10EA">
              <w:rPr>
                <w:rFonts w:ascii="Verdana" w:hAnsi="Verdana"/>
                <w:sz w:val="20"/>
                <w:lang w:val="fr-CH"/>
              </w:rPr>
              <w:t xml:space="preserve"> </w:t>
            </w:r>
          </w:p>
          <w:p w14:paraId="56BF9EF2" w14:textId="77777777" w:rsidR="00D45D74" w:rsidRPr="00DA10EA" w:rsidRDefault="00D45D74" w:rsidP="00D45D74">
            <w:pPr>
              <w:shd w:val="solid" w:color="FFFFFF" w:fill="FFFFFF"/>
              <w:tabs>
                <w:tab w:val="clear" w:pos="1134"/>
                <w:tab w:val="clear" w:pos="1871"/>
                <w:tab w:val="clear" w:pos="2268"/>
              </w:tabs>
              <w:spacing w:before="0" w:after="240"/>
              <w:ind w:left="1134" w:hanging="1134"/>
              <w:rPr>
                <w:rFonts w:ascii="Verdana" w:hAnsi="Verdana"/>
                <w:sz w:val="20"/>
                <w:lang w:val="fr-CH"/>
              </w:rPr>
            </w:pPr>
          </w:p>
        </w:tc>
        <w:tc>
          <w:tcPr>
            <w:tcW w:w="3402" w:type="dxa"/>
          </w:tcPr>
          <w:p w14:paraId="10417F56" w14:textId="77777777" w:rsidR="000069D4" w:rsidRPr="00DA10EA" w:rsidRDefault="00D45D74" w:rsidP="004B37A7">
            <w:pPr>
              <w:shd w:val="solid" w:color="FFFFFF" w:fill="FFFFFF"/>
              <w:spacing w:before="0" w:line="240" w:lineRule="atLeast"/>
              <w:rPr>
                <w:rFonts w:ascii="Verdana" w:hAnsi="Verdana"/>
                <w:sz w:val="20"/>
                <w:lang w:eastAsia="zh-CN"/>
              </w:rPr>
            </w:pPr>
            <w:r w:rsidRPr="00DA10EA">
              <w:rPr>
                <w:rFonts w:ascii="Verdana" w:hAnsi="Verdana"/>
                <w:b/>
                <w:sz w:val="20"/>
                <w:lang w:eastAsia="zh-CN"/>
              </w:rPr>
              <w:t>Document 1/</w:t>
            </w:r>
            <w:r w:rsidR="004B37A7">
              <w:rPr>
                <w:rFonts w:ascii="Verdana" w:hAnsi="Verdana"/>
                <w:b/>
                <w:sz w:val="20"/>
                <w:lang w:eastAsia="zh-CN"/>
              </w:rPr>
              <w:t>200</w:t>
            </w:r>
            <w:r w:rsidRPr="00DA10EA">
              <w:rPr>
                <w:rFonts w:ascii="Verdana" w:hAnsi="Verdana"/>
                <w:b/>
                <w:sz w:val="20"/>
                <w:lang w:eastAsia="zh-CN"/>
              </w:rPr>
              <w:t>-E</w:t>
            </w:r>
          </w:p>
        </w:tc>
      </w:tr>
      <w:tr w:rsidR="000069D4" w14:paraId="2B61E37F" w14:textId="77777777" w:rsidTr="00876A8A">
        <w:trPr>
          <w:cantSplit/>
        </w:trPr>
        <w:tc>
          <w:tcPr>
            <w:tcW w:w="6487" w:type="dxa"/>
            <w:vMerge/>
          </w:tcPr>
          <w:p w14:paraId="1F4F14DD" w14:textId="77777777" w:rsidR="000069D4" w:rsidRDefault="000069D4" w:rsidP="00A5173C">
            <w:pPr>
              <w:spacing w:before="60"/>
              <w:jc w:val="center"/>
              <w:rPr>
                <w:b/>
                <w:smallCaps/>
                <w:sz w:val="32"/>
                <w:lang w:eastAsia="zh-CN"/>
              </w:rPr>
            </w:pPr>
            <w:bookmarkStart w:id="3" w:name="ddate" w:colFirst="1" w:colLast="1"/>
            <w:bookmarkEnd w:id="2"/>
          </w:p>
        </w:tc>
        <w:tc>
          <w:tcPr>
            <w:tcW w:w="3402" w:type="dxa"/>
          </w:tcPr>
          <w:p w14:paraId="37E01A68" w14:textId="77777777" w:rsidR="000069D4" w:rsidRPr="00DA10EA" w:rsidRDefault="00D41033" w:rsidP="00856A77">
            <w:pPr>
              <w:shd w:val="solid" w:color="FFFFFF" w:fill="FFFFFF"/>
              <w:spacing w:before="0" w:line="240" w:lineRule="atLeast"/>
              <w:rPr>
                <w:rFonts w:ascii="Verdana" w:hAnsi="Verdana"/>
                <w:sz w:val="20"/>
                <w:lang w:eastAsia="zh-CN"/>
              </w:rPr>
            </w:pPr>
            <w:r>
              <w:rPr>
                <w:rFonts w:ascii="Verdana" w:hAnsi="Verdana"/>
                <w:b/>
                <w:sz w:val="20"/>
                <w:lang w:eastAsia="zh-CN"/>
              </w:rPr>
              <w:t>5</w:t>
            </w:r>
            <w:r w:rsidR="005B606D">
              <w:rPr>
                <w:rFonts w:ascii="Verdana" w:hAnsi="Verdana"/>
                <w:b/>
                <w:sz w:val="20"/>
                <w:lang w:eastAsia="zh-CN"/>
              </w:rPr>
              <w:t xml:space="preserve"> Ju</w:t>
            </w:r>
            <w:r w:rsidR="00856A77">
              <w:rPr>
                <w:rFonts w:ascii="Verdana" w:hAnsi="Verdana"/>
                <w:b/>
                <w:sz w:val="20"/>
                <w:lang w:eastAsia="zh-CN"/>
              </w:rPr>
              <w:t>ne</w:t>
            </w:r>
            <w:r w:rsidR="00D45D74" w:rsidRPr="00DA10EA">
              <w:rPr>
                <w:rFonts w:ascii="Verdana" w:hAnsi="Verdana"/>
                <w:b/>
                <w:sz w:val="20"/>
                <w:lang w:eastAsia="zh-CN"/>
              </w:rPr>
              <w:t xml:space="preserve"> 201</w:t>
            </w:r>
            <w:r w:rsidR="00856A77">
              <w:rPr>
                <w:rFonts w:ascii="Verdana" w:hAnsi="Verdana"/>
                <w:b/>
                <w:sz w:val="20"/>
                <w:lang w:eastAsia="zh-CN"/>
              </w:rPr>
              <w:t>9</w:t>
            </w:r>
          </w:p>
        </w:tc>
      </w:tr>
      <w:tr w:rsidR="000069D4" w14:paraId="63DBB0C6" w14:textId="77777777" w:rsidTr="00876A8A">
        <w:trPr>
          <w:cantSplit/>
        </w:trPr>
        <w:tc>
          <w:tcPr>
            <w:tcW w:w="6487" w:type="dxa"/>
            <w:vMerge/>
          </w:tcPr>
          <w:p w14:paraId="65613F33"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5EC26CFB" w14:textId="77777777" w:rsidR="000069D4" w:rsidRPr="00D45D74" w:rsidRDefault="00D45D74"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DA10EA" w14:paraId="33B921DE" w14:textId="77777777" w:rsidTr="00D046A7">
        <w:trPr>
          <w:cantSplit/>
        </w:trPr>
        <w:tc>
          <w:tcPr>
            <w:tcW w:w="9889" w:type="dxa"/>
            <w:gridSpan w:val="2"/>
          </w:tcPr>
          <w:p w14:paraId="7E1982BA" w14:textId="77777777" w:rsidR="00DA10EA" w:rsidRDefault="00DA10EA" w:rsidP="00D41033">
            <w:pPr>
              <w:pStyle w:val="Source"/>
              <w:rPr>
                <w:lang w:eastAsia="zh-CN"/>
              </w:rPr>
            </w:pPr>
            <w:bookmarkStart w:id="5" w:name="dsource" w:colFirst="0" w:colLast="0"/>
            <w:bookmarkEnd w:id="4"/>
            <w:r>
              <w:rPr>
                <w:lang w:eastAsia="zh-CN"/>
              </w:rPr>
              <w:t>Working Party 1A</w:t>
            </w:r>
          </w:p>
        </w:tc>
      </w:tr>
      <w:tr w:rsidR="00DA10EA" w14:paraId="38A28366" w14:textId="77777777" w:rsidTr="00D046A7">
        <w:trPr>
          <w:cantSplit/>
        </w:trPr>
        <w:tc>
          <w:tcPr>
            <w:tcW w:w="9889" w:type="dxa"/>
            <w:gridSpan w:val="2"/>
          </w:tcPr>
          <w:p w14:paraId="605504B5" w14:textId="77777777" w:rsidR="00DA10EA" w:rsidRPr="00D71F93" w:rsidRDefault="005A20FE" w:rsidP="00D41033">
            <w:pPr>
              <w:pStyle w:val="Title1"/>
            </w:pPr>
            <w:bookmarkStart w:id="6" w:name="drec" w:colFirst="0" w:colLast="0"/>
            <w:bookmarkEnd w:id="5"/>
            <w:r w:rsidRPr="00D41033">
              <w:t xml:space="preserve">Supplement </w:t>
            </w:r>
            <w:r w:rsidR="00DA10EA" w:rsidRPr="00D41033">
              <w:t xml:space="preserve">ON the Maintenance of </w:t>
            </w:r>
            <w:r w:rsidR="00DA10EA" w:rsidRPr="00D41033">
              <w:br/>
              <w:t>Recommendation ITU-R SM.1448</w:t>
            </w:r>
          </w:p>
        </w:tc>
      </w:tr>
    </w:tbl>
    <w:p w14:paraId="4D97AC42" w14:textId="77777777" w:rsidR="007E46CE" w:rsidRPr="00D41033" w:rsidRDefault="007E46CE" w:rsidP="00D41033">
      <w:pPr>
        <w:pStyle w:val="Repdate"/>
      </w:pPr>
      <w:bookmarkStart w:id="7" w:name="dbreak"/>
      <w:bookmarkEnd w:id="6"/>
      <w:bookmarkEnd w:id="7"/>
      <w:r w:rsidRPr="00D41033">
        <w:t>(2019)</w:t>
      </w:r>
    </w:p>
    <w:p w14:paraId="4EB82F66" w14:textId="77777777" w:rsidR="00D45D74" w:rsidRPr="00D41033" w:rsidRDefault="007E46CE" w:rsidP="00D41033">
      <w:pPr>
        <w:pStyle w:val="Title1"/>
      </w:pPr>
      <w:r w:rsidRPr="00D41033">
        <w:t>Table of contents</w:t>
      </w:r>
    </w:p>
    <w:sdt>
      <w:sdtPr>
        <w:id w:val="697433731"/>
        <w:docPartObj>
          <w:docPartGallery w:val="Table of Contents"/>
          <w:docPartUnique/>
        </w:docPartObj>
      </w:sdtPr>
      <w:sdtEndPr>
        <w:rPr>
          <w:szCs w:val="22"/>
        </w:rPr>
      </w:sdtEndPr>
      <w:sdtContent>
        <w:p w14:paraId="0AFF4A9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fldChar w:fldCharType="begin"/>
          </w:r>
          <w:r>
            <w:instrText xml:space="preserve"> TOC \o "1-4" \t "Annex_No,1,Annex_title,1" </w:instrText>
          </w:r>
          <w:r>
            <w:fldChar w:fldCharType="separate"/>
          </w:r>
          <w:r>
            <w:rPr>
              <w:noProof/>
            </w:rPr>
            <w:t>1</w:t>
          </w:r>
          <w:r>
            <w:rPr>
              <w:rFonts w:asciiTheme="minorHAnsi" w:eastAsiaTheme="minorEastAsia" w:hAnsiTheme="minorHAnsi" w:cstheme="minorBidi"/>
              <w:noProof/>
              <w:lang w:eastAsia="en-GB"/>
            </w:rPr>
            <w:tab/>
          </w:r>
          <w:r>
            <w:rPr>
              <w:noProof/>
            </w:rPr>
            <w:t>Introduction</w:t>
          </w:r>
          <w:r>
            <w:rPr>
              <w:noProof/>
            </w:rPr>
            <w:tab/>
          </w:r>
          <w:r>
            <w:rPr>
              <w:noProof/>
            </w:rPr>
            <w:fldChar w:fldCharType="begin"/>
          </w:r>
          <w:r>
            <w:rPr>
              <w:noProof/>
            </w:rPr>
            <w:instrText xml:space="preserve"> PAGEREF _Toc514259765 \h </w:instrText>
          </w:r>
          <w:r>
            <w:rPr>
              <w:noProof/>
            </w:rPr>
          </w:r>
          <w:r>
            <w:rPr>
              <w:noProof/>
            </w:rPr>
            <w:fldChar w:fldCharType="separate"/>
          </w:r>
          <w:r w:rsidR="00F1574B">
            <w:rPr>
              <w:noProof/>
            </w:rPr>
            <w:t>3</w:t>
          </w:r>
          <w:r>
            <w:rPr>
              <w:noProof/>
            </w:rPr>
            <w:fldChar w:fldCharType="end"/>
          </w:r>
        </w:p>
        <w:p w14:paraId="7EDCC02A"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lang w:eastAsia="en-GB"/>
            </w:rPr>
            <w:tab/>
          </w:r>
          <w:r>
            <w:rPr>
              <w:noProof/>
            </w:rPr>
            <w:t>Background to the development of Recommendation ITU-R SM.1448</w:t>
          </w:r>
          <w:r>
            <w:rPr>
              <w:noProof/>
            </w:rPr>
            <w:tab/>
          </w:r>
          <w:r>
            <w:rPr>
              <w:noProof/>
            </w:rPr>
            <w:fldChar w:fldCharType="begin"/>
          </w:r>
          <w:r>
            <w:rPr>
              <w:noProof/>
            </w:rPr>
            <w:instrText xml:space="preserve"> PAGEREF _Toc514259766 \h </w:instrText>
          </w:r>
          <w:r>
            <w:rPr>
              <w:noProof/>
            </w:rPr>
          </w:r>
          <w:r>
            <w:rPr>
              <w:noProof/>
            </w:rPr>
            <w:fldChar w:fldCharType="separate"/>
          </w:r>
          <w:r w:rsidR="00F1574B">
            <w:rPr>
              <w:noProof/>
            </w:rPr>
            <w:t>4</w:t>
          </w:r>
          <w:r>
            <w:rPr>
              <w:noProof/>
            </w:rPr>
            <w:fldChar w:fldCharType="end"/>
          </w:r>
        </w:p>
        <w:p w14:paraId="75C5187F"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2.1</w:t>
          </w:r>
          <w:r>
            <w:rPr>
              <w:rFonts w:asciiTheme="minorHAnsi" w:eastAsiaTheme="minorEastAsia" w:hAnsiTheme="minorHAnsi" w:cstheme="minorBidi"/>
              <w:noProof/>
              <w:lang w:eastAsia="en-GB"/>
            </w:rPr>
            <w:tab/>
          </w:r>
          <w:r>
            <w:rPr>
              <w:noProof/>
            </w:rPr>
            <w:t>Overview</w:t>
          </w:r>
          <w:r>
            <w:rPr>
              <w:noProof/>
            </w:rPr>
            <w:tab/>
          </w:r>
          <w:r>
            <w:rPr>
              <w:noProof/>
            </w:rPr>
            <w:fldChar w:fldCharType="begin"/>
          </w:r>
          <w:r>
            <w:rPr>
              <w:noProof/>
            </w:rPr>
            <w:instrText xml:space="preserve"> PAGEREF _Toc514259767 \h </w:instrText>
          </w:r>
          <w:r>
            <w:rPr>
              <w:noProof/>
            </w:rPr>
          </w:r>
          <w:r>
            <w:rPr>
              <w:noProof/>
            </w:rPr>
            <w:fldChar w:fldCharType="separate"/>
          </w:r>
          <w:r w:rsidR="00F1574B">
            <w:rPr>
              <w:noProof/>
            </w:rPr>
            <w:t>4</w:t>
          </w:r>
          <w:r>
            <w:rPr>
              <w:noProof/>
            </w:rPr>
            <w:fldChar w:fldCharType="end"/>
          </w:r>
        </w:p>
        <w:p w14:paraId="2549A91D"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2.2</w:t>
          </w:r>
          <w:r>
            <w:rPr>
              <w:rFonts w:asciiTheme="minorHAnsi" w:eastAsiaTheme="minorEastAsia" w:hAnsiTheme="minorHAnsi" w:cstheme="minorBidi"/>
              <w:noProof/>
              <w:lang w:eastAsia="en-GB"/>
            </w:rPr>
            <w:tab/>
          </w:r>
          <w:r>
            <w:rPr>
              <w:noProof/>
            </w:rPr>
            <w:t>Relationship between Recommendation ITU-R SM.1448 and Appendix 7</w:t>
          </w:r>
          <w:r w:rsidR="006105FD">
            <w:rPr>
              <w:noProof/>
            </w:rPr>
            <w:t xml:space="preserve"> </w:t>
          </w:r>
          <w:r w:rsidR="00620BD4">
            <w:rPr>
              <w:noProof/>
            </w:rPr>
            <w:br/>
          </w:r>
          <w:r>
            <w:rPr>
              <w:noProof/>
            </w:rPr>
            <w:t>of the Radio Regulations</w:t>
          </w:r>
          <w:r>
            <w:rPr>
              <w:noProof/>
            </w:rPr>
            <w:tab/>
          </w:r>
          <w:r>
            <w:rPr>
              <w:noProof/>
            </w:rPr>
            <w:fldChar w:fldCharType="begin"/>
          </w:r>
          <w:r>
            <w:rPr>
              <w:noProof/>
            </w:rPr>
            <w:instrText xml:space="preserve"> PAGEREF _Toc514259768 \h </w:instrText>
          </w:r>
          <w:r>
            <w:rPr>
              <w:noProof/>
            </w:rPr>
          </w:r>
          <w:r>
            <w:rPr>
              <w:noProof/>
            </w:rPr>
            <w:fldChar w:fldCharType="separate"/>
          </w:r>
          <w:r w:rsidR="00F1574B">
            <w:rPr>
              <w:noProof/>
            </w:rPr>
            <w:t>6</w:t>
          </w:r>
          <w:r>
            <w:rPr>
              <w:noProof/>
            </w:rPr>
            <w:fldChar w:fldCharType="end"/>
          </w:r>
        </w:p>
        <w:p w14:paraId="15E98372"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2.3</w:t>
          </w:r>
          <w:r>
            <w:rPr>
              <w:rFonts w:asciiTheme="minorHAnsi" w:eastAsiaTheme="minorEastAsia" w:hAnsiTheme="minorHAnsi" w:cstheme="minorBidi"/>
              <w:noProof/>
              <w:lang w:eastAsia="en-GB"/>
            </w:rPr>
            <w:tab/>
          </w:r>
          <w:r>
            <w:rPr>
              <w:noProof/>
            </w:rPr>
            <w:t>Recommendation ITU-R SM.1448 and its component recommendations</w:t>
          </w:r>
          <w:r>
            <w:rPr>
              <w:noProof/>
            </w:rPr>
            <w:tab/>
          </w:r>
          <w:r>
            <w:rPr>
              <w:noProof/>
            </w:rPr>
            <w:fldChar w:fldCharType="begin"/>
          </w:r>
          <w:r>
            <w:rPr>
              <w:noProof/>
            </w:rPr>
            <w:instrText xml:space="preserve"> PAGEREF _Toc514259769 \h </w:instrText>
          </w:r>
          <w:r>
            <w:rPr>
              <w:noProof/>
            </w:rPr>
          </w:r>
          <w:r>
            <w:rPr>
              <w:noProof/>
            </w:rPr>
            <w:fldChar w:fldCharType="separate"/>
          </w:r>
          <w:r w:rsidR="00F1574B">
            <w:rPr>
              <w:noProof/>
            </w:rPr>
            <w:t>7</w:t>
          </w:r>
          <w:r>
            <w:rPr>
              <w:noProof/>
            </w:rPr>
            <w:fldChar w:fldCharType="end"/>
          </w:r>
        </w:p>
        <w:p w14:paraId="3A6471F3"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2.3.1</w:t>
          </w:r>
          <w:r>
            <w:rPr>
              <w:rFonts w:asciiTheme="minorHAnsi" w:eastAsiaTheme="minorEastAsia" w:hAnsiTheme="minorHAnsi" w:cstheme="minorBidi"/>
              <w:noProof/>
              <w:lang w:eastAsia="en-GB"/>
            </w:rPr>
            <w:tab/>
          </w:r>
          <w:r>
            <w:rPr>
              <w:noProof/>
            </w:rPr>
            <w:t>Recommendation ITU-R SM.1448 structure</w:t>
          </w:r>
          <w:r>
            <w:rPr>
              <w:noProof/>
            </w:rPr>
            <w:tab/>
          </w:r>
          <w:r>
            <w:rPr>
              <w:noProof/>
            </w:rPr>
            <w:fldChar w:fldCharType="begin"/>
          </w:r>
          <w:r>
            <w:rPr>
              <w:noProof/>
            </w:rPr>
            <w:instrText xml:space="preserve"> PAGEREF _Toc514259770 \h </w:instrText>
          </w:r>
          <w:r>
            <w:rPr>
              <w:noProof/>
            </w:rPr>
          </w:r>
          <w:r>
            <w:rPr>
              <w:noProof/>
            </w:rPr>
            <w:fldChar w:fldCharType="separate"/>
          </w:r>
          <w:r w:rsidR="00F1574B">
            <w:rPr>
              <w:noProof/>
            </w:rPr>
            <w:t>8</w:t>
          </w:r>
          <w:r>
            <w:rPr>
              <w:noProof/>
            </w:rPr>
            <w:fldChar w:fldCharType="end"/>
          </w:r>
        </w:p>
        <w:p w14:paraId="3A744055"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2.3.2</w:t>
          </w:r>
          <w:r>
            <w:rPr>
              <w:rFonts w:asciiTheme="minorHAnsi" w:eastAsiaTheme="minorEastAsia" w:hAnsiTheme="minorHAnsi" w:cstheme="minorBidi"/>
              <w:noProof/>
              <w:lang w:eastAsia="en-GB"/>
            </w:rPr>
            <w:tab/>
          </w:r>
          <w:r>
            <w:rPr>
              <w:noProof/>
            </w:rPr>
            <w:t>Recommendation ITU-R P.620 content and format</w:t>
          </w:r>
          <w:r>
            <w:rPr>
              <w:noProof/>
            </w:rPr>
            <w:tab/>
          </w:r>
          <w:r>
            <w:rPr>
              <w:noProof/>
            </w:rPr>
            <w:fldChar w:fldCharType="begin"/>
          </w:r>
          <w:r>
            <w:rPr>
              <w:noProof/>
            </w:rPr>
            <w:instrText xml:space="preserve"> PAGEREF _Toc514259771 \h </w:instrText>
          </w:r>
          <w:r>
            <w:rPr>
              <w:noProof/>
            </w:rPr>
          </w:r>
          <w:r>
            <w:rPr>
              <w:noProof/>
            </w:rPr>
            <w:fldChar w:fldCharType="separate"/>
          </w:r>
          <w:r w:rsidR="00F1574B">
            <w:rPr>
              <w:noProof/>
            </w:rPr>
            <w:t>8</w:t>
          </w:r>
          <w:r>
            <w:rPr>
              <w:noProof/>
            </w:rPr>
            <w:fldChar w:fldCharType="end"/>
          </w:r>
        </w:p>
        <w:p w14:paraId="18D4DA8B" w14:textId="77777777" w:rsidR="00B9168B" w:rsidRDefault="00B9168B" w:rsidP="00D41033">
          <w:pPr>
            <w:pStyle w:val="TOC1"/>
            <w:tabs>
              <w:tab w:val="clear" w:pos="7938"/>
              <w:tab w:val="left" w:leader="dot" w:pos="9356"/>
            </w:tabs>
            <w:rPr>
              <w:rFonts w:asciiTheme="minorHAnsi" w:hAnsiTheme="minorHAnsi"/>
              <w:noProof/>
            </w:rPr>
          </w:pPr>
          <w:r>
            <w:rPr>
              <w:noProof/>
            </w:rPr>
            <w:t>2.3.2.1Issues requiring the merger of the propagation texts into a single text</w:t>
          </w:r>
          <w:r>
            <w:rPr>
              <w:noProof/>
            </w:rPr>
            <w:tab/>
          </w:r>
          <w:r>
            <w:rPr>
              <w:noProof/>
            </w:rPr>
            <w:fldChar w:fldCharType="begin"/>
          </w:r>
          <w:r>
            <w:rPr>
              <w:noProof/>
            </w:rPr>
            <w:instrText xml:space="preserve"> PAGEREF _Toc514259772 \h </w:instrText>
          </w:r>
          <w:r>
            <w:rPr>
              <w:noProof/>
            </w:rPr>
          </w:r>
          <w:r>
            <w:rPr>
              <w:noProof/>
            </w:rPr>
            <w:fldChar w:fldCharType="separate"/>
          </w:r>
          <w:r w:rsidR="00F1574B">
            <w:rPr>
              <w:noProof/>
            </w:rPr>
            <w:t>8</w:t>
          </w:r>
          <w:r>
            <w:rPr>
              <w:noProof/>
            </w:rPr>
            <w:fldChar w:fldCharType="end"/>
          </w:r>
        </w:p>
        <w:p w14:paraId="38D0BBEC" w14:textId="77777777" w:rsidR="00B9168B" w:rsidRDefault="00B9168B" w:rsidP="00D41033">
          <w:pPr>
            <w:pStyle w:val="TOC1"/>
            <w:tabs>
              <w:tab w:val="clear" w:pos="7938"/>
              <w:tab w:val="left" w:leader="dot" w:pos="9356"/>
            </w:tabs>
            <w:rPr>
              <w:rFonts w:asciiTheme="minorHAnsi" w:hAnsiTheme="minorHAnsi"/>
              <w:noProof/>
            </w:rPr>
          </w:pPr>
          <w:r>
            <w:rPr>
              <w:noProof/>
            </w:rPr>
            <w:t xml:space="preserve">2.3.2.2Merged propagation texts prepared by WP 3M </w:t>
          </w:r>
          <w:r>
            <w:rPr>
              <w:noProof/>
            </w:rPr>
            <w:tab/>
          </w:r>
          <w:r>
            <w:rPr>
              <w:noProof/>
            </w:rPr>
            <w:fldChar w:fldCharType="begin"/>
          </w:r>
          <w:r>
            <w:rPr>
              <w:noProof/>
            </w:rPr>
            <w:instrText xml:space="preserve"> PAGEREF _Toc514259773 \h </w:instrText>
          </w:r>
          <w:r>
            <w:rPr>
              <w:noProof/>
            </w:rPr>
          </w:r>
          <w:r>
            <w:rPr>
              <w:noProof/>
            </w:rPr>
            <w:fldChar w:fldCharType="separate"/>
          </w:r>
          <w:r w:rsidR="00F1574B">
            <w:rPr>
              <w:noProof/>
            </w:rPr>
            <w:t>10</w:t>
          </w:r>
          <w:r>
            <w:rPr>
              <w:noProof/>
            </w:rPr>
            <w:fldChar w:fldCharType="end"/>
          </w:r>
        </w:p>
        <w:p w14:paraId="3AC613C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2.4</w:t>
          </w:r>
          <w:r>
            <w:rPr>
              <w:rFonts w:asciiTheme="minorHAnsi" w:eastAsiaTheme="minorEastAsia" w:hAnsiTheme="minorHAnsi" w:cstheme="minorBidi"/>
              <w:noProof/>
              <w:lang w:eastAsia="en-GB"/>
            </w:rPr>
            <w:tab/>
          </w:r>
          <w:r>
            <w:rPr>
              <w:noProof/>
            </w:rPr>
            <w:t xml:space="preserve">Differences between Recommendation ITU-R SM.1448 and </w:t>
          </w:r>
          <w:r w:rsidR="00620BD4">
            <w:rPr>
              <w:noProof/>
            </w:rPr>
            <w:br/>
          </w:r>
          <w:r>
            <w:rPr>
              <w:noProof/>
            </w:rPr>
            <w:t>the propagation text provided by WP 3M</w:t>
          </w:r>
          <w:r>
            <w:rPr>
              <w:noProof/>
            </w:rPr>
            <w:tab/>
          </w:r>
          <w:r>
            <w:rPr>
              <w:noProof/>
            </w:rPr>
            <w:fldChar w:fldCharType="begin"/>
          </w:r>
          <w:r>
            <w:rPr>
              <w:noProof/>
            </w:rPr>
            <w:instrText xml:space="preserve"> PAGEREF _Toc514259774 \h </w:instrText>
          </w:r>
          <w:r>
            <w:rPr>
              <w:noProof/>
            </w:rPr>
          </w:r>
          <w:r>
            <w:rPr>
              <w:noProof/>
            </w:rPr>
            <w:fldChar w:fldCharType="separate"/>
          </w:r>
          <w:r w:rsidR="00F1574B">
            <w:rPr>
              <w:noProof/>
            </w:rPr>
            <w:t>11</w:t>
          </w:r>
          <w:r>
            <w:rPr>
              <w:noProof/>
            </w:rPr>
            <w:fldChar w:fldCharType="end"/>
          </w:r>
        </w:p>
        <w:p w14:paraId="5BF12789"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2.4.1</w:t>
          </w:r>
          <w:r>
            <w:rPr>
              <w:rFonts w:asciiTheme="minorHAnsi" w:eastAsiaTheme="minorEastAsia" w:hAnsiTheme="minorHAnsi" w:cstheme="minorBidi"/>
              <w:noProof/>
              <w:lang w:eastAsia="en-GB"/>
            </w:rPr>
            <w:tab/>
          </w:r>
          <w:r>
            <w:rPr>
              <w:noProof/>
            </w:rPr>
            <w:t xml:space="preserve">Modifications to the propagation text to merge with the Recommendation </w:t>
          </w:r>
          <w:r w:rsidR="00620BD4">
            <w:rPr>
              <w:noProof/>
            </w:rPr>
            <w:br/>
          </w:r>
          <w:r>
            <w:rPr>
              <w:noProof/>
            </w:rPr>
            <w:t>ITU-R SM.1448 methodologies and concepts</w:t>
          </w:r>
          <w:r>
            <w:rPr>
              <w:noProof/>
            </w:rPr>
            <w:tab/>
          </w:r>
          <w:r>
            <w:rPr>
              <w:noProof/>
            </w:rPr>
            <w:fldChar w:fldCharType="begin"/>
          </w:r>
          <w:r>
            <w:rPr>
              <w:noProof/>
            </w:rPr>
            <w:instrText xml:space="preserve"> PAGEREF _Toc514259775 \h </w:instrText>
          </w:r>
          <w:r>
            <w:rPr>
              <w:noProof/>
            </w:rPr>
          </w:r>
          <w:r>
            <w:rPr>
              <w:noProof/>
            </w:rPr>
            <w:fldChar w:fldCharType="separate"/>
          </w:r>
          <w:r w:rsidR="00F1574B">
            <w:rPr>
              <w:noProof/>
            </w:rPr>
            <w:t>12</w:t>
          </w:r>
          <w:r>
            <w:rPr>
              <w:noProof/>
            </w:rPr>
            <w:fldChar w:fldCharType="end"/>
          </w:r>
        </w:p>
        <w:p w14:paraId="4D868ABC"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2.4.2</w:t>
          </w:r>
          <w:r>
            <w:rPr>
              <w:rFonts w:asciiTheme="minorHAnsi" w:eastAsiaTheme="minorEastAsia" w:hAnsiTheme="minorHAnsi" w:cstheme="minorBidi"/>
              <w:noProof/>
              <w:lang w:eastAsia="en-GB"/>
            </w:rPr>
            <w:tab/>
          </w:r>
          <w:r>
            <w:rPr>
              <w:noProof/>
            </w:rPr>
            <w:t>Editorial alignments to the propagation text</w:t>
          </w:r>
          <w:r>
            <w:rPr>
              <w:noProof/>
            </w:rPr>
            <w:tab/>
          </w:r>
          <w:r>
            <w:rPr>
              <w:noProof/>
            </w:rPr>
            <w:fldChar w:fldCharType="begin"/>
          </w:r>
          <w:r>
            <w:rPr>
              <w:noProof/>
            </w:rPr>
            <w:instrText xml:space="preserve"> PAGEREF _Toc514259776 \h </w:instrText>
          </w:r>
          <w:r>
            <w:rPr>
              <w:noProof/>
            </w:rPr>
          </w:r>
          <w:r>
            <w:rPr>
              <w:noProof/>
            </w:rPr>
            <w:fldChar w:fldCharType="separate"/>
          </w:r>
          <w:r w:rsidR="00F1574B">
            <w:rPr>
              <w:noProof/>
            </w:rPr>
            <w:t>13</w:t>
          </w:r>
          <w:r>
            <w:rPr>
              <w:noProof/>
            </w:rPr>
            <w:fldChar w:fldCharType="end"/>
          </w:r>
        </w:p>
        <w:p w14:paraId="3D85319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lang w:eastAsia="en-GB"/>
            </w:rPr>
            <w:tab/>
          </w:r>
          <w:r>
            <w:rPr>
              <w:noProof/>
            </w:rPr>
            <w:t>Issues in the revision of recommendations supporting Appendix 7</w:t>
          </w:r>
          <w:r>
            <w:rPr>
              <w:noProof/>
            </w:rPr>
            <w:tab/>
          </w:r>
          <w:r>
            <w:rPr>
              <w:noProof/>
            </w:rPr>
            <w:fldChar w:fldCharType="begin"/>
          </w:r>
          <w:r>
            <w:rPr>
              <w:noProof/>
            </w:rPr>
            <w:instrText xml:space="preserve"> PAGEREF _Toc514259777 \h </w:instrText>
          </w:r>
          <w:r>
            <w:rPr>
              <w:noProof/>
            </w:rPr>
          </w:r>
          <w:r>
            <w:rPr>
              <w:noProof/>
            </w:rPr>
            <w:fldChar w:fldCharType="separate"/>
          </w:r>
          <w:r w:rsidR="00F1574B">
            <w:rPr>
              <w:noProof/>
            </w:rPr>
            <w:t>14</w:t>
          </w:r>
          <w:r>
            <w:rPr>
              <w:noProof/>
            </w:rPr>
            <w:fldChar w:fldCharType="end"/>
          </w:r>
        </w:p>
        <w:p w14:paraId="39CBC818" w14:textId="77777777" w:rsidR="00B9168B" w:rsidRPr="00A545E2" w:rsidRDefault="00B9168B" w:rsidP="00D41033">
          <w:pPr>
            <w:pStyle w:val="TOC1"/>
            <w:tabs>
              <w:tab w:val="clear" w:pos="7938"/>
              <w:tab w:val="left" w:leader="dot" w:pos="9356"/>
            </w:tabs>
            <w:rPr>
              <w:rFonts w:asciiTheme="minorHAnsi" w:eastAsiaTheme="minorEastAsia" w:hAnsiTheme="minorHAnsi" w:cstheme="minorBidi"/>
              <w:noProof/>
              <w:lang w:val="fr-CH" w:eastAsia="en-GB"/>
            </w:rPr>
          </w:pPr>
          <w:r w:rsidRPr="00A545E2">
            <w:rPr>
              <w:noProof/>
              <w:lang w:val="fr-CH"/>
            </w:rPr>
            <w:t>3.1</w:t>
          </w:r>
          <w:r w:rsidRPr="00A545E2">
            <w:rPr>
              <w:rFonts w:asciiTheme="minorHAnsi" w:eastAsiaTheme="minorEastAsia" w:hAnsiTheme="minorHAnsi" w:cstheme="minorBidi"/>
              <w:noProof/>
              <w:lang w:val="fr-CH" w:eastAsia="en-GB"/>
            </w:rPr>
            <w:tab/>
          </w:r>
          <w:r w:rsidRPr="00A545E2">
            <w:rPr>
              <w:noProof/>
              <w:lang w:val="fr-CH"/>
            </w:rPr>
            <w:t>Participation</w:t>
          </w:r>
          <w:r w:rsidRPr="00A545E2">
            <w:rPr>
              <w:noProof/>
              <w:lang w:val="fr-CH"/>
            </w:rPr>
            <w:tab/>
          </w:r>
          <w:r>
            <w:rPr>
              <w:noProof/>
            </w:rPr>
            <w:fldChar w:fldCharType="begin"/>
          </w:r>
          <w:r w:rsidRPr="00A545E2">
            <w:rPr>
              <w:noProof/>
              <w:lang w:val="fr-CH"/>
            </w:rPr>
            <w:instrText xml:space="preserve"> PAGEREF _Toc514259778 \h </w:instrText>
          </w:r>
          <w:r>
            <w:rPr>
              <w:noProof/>
            </w:rPr>
          </w:r>
          <w:r>
            <w:rPr>
              <w:noProof/>
            </w:rPr>
            <w:fldChar w:fldCharType="separate"/>
          </w:r>
          <w:r w:rsidR="00F1574B">
            <w:rPr>
              <w:noProof/>
              <w:lang w:val="fr-CH"/>
            </w:rPr>
            <w:t>14</w:t>
          </w:r>
          <w:r>
            <w:rPr>
              <w:noProof/>
            </w:rPr>
            <w:fldChar w:fldCharType="end"/>
          </w:r>
        </w:p>
        <w:p w14:paraId="59C80594" w14:textId="77777777" w:rsidR="00B9168B" w:rsidRPr="00A545E2" w:rsidRDefault="00B9168B" w:rsidP="00D41033">
          <w:pPr>
            <w:pStyle w:val="TOC1"/>
            <w:tabs>
              <w:tab w:val="clear" w:pos="7938"/>
              <w:tab w:val="left" w:leader="dot" w:pos="9356"/>
            </w:tabs>
            <w:rPr>
              <w:rFonts w:asciiTheme="minorHAnsi" w:eastAsiaTheme="minorEastAsia" w:hAnsiTheme="minorHAnsi" w:cstheme="minorBidi"/>
              <w:noProof/>
              <w:lang w:val="fr-CH" w:eastAsia="en-GB"/>
            </w:rPr>
          </w:pPr>
          <w:r w:rsidRPr="00A545E2">
            <w:rPr>
              <w:noProof/>
              <w:lang w:val="fr-CH"/>
            </w:rPr>
            <w:t>3.2</w:t>
          </w:r>
          <w:r w:rsidRPr="00A545E2">
            <w:rPr>
              <w:rFonts w:asciiTheme="minorHAnsi" w:eastAsiaTheme="minorEastAsia" w:hAnsiTheme="minorHAnsi" w:cstheme="minorBidi"/>
              <w:noProof/>
              <w:lang w:val="fr-CH" w:eastAsia="en-GB"/>
            </w:rPr>
            <w:tab/>
          </w:r>
          <w:r w:rsidRPr="00A545E2">
            <w:rPr>
              <w:noProof/>
              <w:lang w:val="fr-CH"/>
            </w:rPr>
            <w:t>Work Organisation</w:t>
          </w:r>
          <w:r w:rsidRPr="00A545E2">
            <w:rPr>
              <w:noProof/>
              <w:lang w:val="fr-CH"/>
            </w:rPr>
            <w:tab/>
          </w:r>
          <w:r>
            <w:rPr>
              <w:noProof/>
            </w:rPr>
            <w:fldChar w:fldCharType="begin"/>
          </w:r>
          <w:r w:rsidRPr="00A545E2">
            <w:rPr>
              <w:noProof/>
              <w:lang w:val="fr-CH"/>
            </w:rPr>
            <w:instrText xml:space="preserve"> PAGEREF _Toc514259779 \h </w:instrText>
          </w:r>
          <w:r>
            <w:rPr>
              <w:noProof/>
            </w:rPr>
          </w:r>
          <w:r>
            <w:rPr>
              <w:noProof/>
            </w:rPr>
            <w:fldChar w:fldCharType="separate"/>
          </w:r>
          <w:r w:rsidR="00F1574B">
            <w:rPr>
              <w:noProof/>
              <w:lang w:val="fr-CH"/>
            </w:rPr>
            <w:t>15</w:t>
          </w:r>
          <w:r>
            <w:rPr>
              <w:noProof/>
            </w:rPr>
            <w:fldChar w:fldCharType="end"/>
          </w:r>
        </w:p>
        <w:p w14:paraId="698AD5D5" w14:textId="77777777" w:rsidR="00B9168B" w:rsidRPr="00A545E2" w:rsidRDefault="00B9168B" w:rsidP="00D41033">
          <w:pPr>
            <w:pStyle w:val="TOC1"/>
            <w:tabs>
              <w:tab w:val="clear" w:pos="7938"/>
              <w:tab w:val="left" w:leader="dot" w:pos="9356"/>
            </w:tabs>
            <w:rPr>
              <w:rFonts w:asciiTheme="minorHAnsi" w:eastAsiaTheme="minorEastAsia" w:hAnsiTheme="minorHAnsi" w:cstheme="minorBidi"/>
              <w:noProof/>
              <w:lang w:val="fr-CH" w:eastAsia="en-GB"/>
            </w:rPr>
          </w:pPr>
          <w:r w:rsidRPr="00A545E2">
            <w:rPr>
              <w:noProof/>
              <w:lang w:val="fr-CH"/>
            </w:rPr>
            <w:lastRenderedPageBreak/>
            <w:t>3.3</w:t>
          </w:r>
          <w:r w:rsidRPr="00A545E2">
            <w:rPr>
              <w:rFonts w:asciiTheme="minorHAnsi" w:eastAsiaTheme="minorEastAsia" w:hAnsiTheme="minorHAnsi" w:cstheme="minorBidi"/>
              <w:noProof/>
              <w:lang w:val="fr-CH" w:eastAsia="en-GB"/>
            </w:rPr>
            <w:tab/>
          </w:r>
          <w:r w:rsidRPr="00A545E2">
            <w:rPr>
              <w:noProof/>
              <w:lang w:val="fr-CH"/>
            </w:rPr>
            <w:t>Communication</w:t>
          </w:r>
          <w:r w:rsidRPr="00A545E2">
            <w:rPr>
              <w:noProof/>
              <w:lang w:val="fr-CH"/>
            </w:rPr>
            <w:tab/>
          </w:r>
          <w:r>
            <w:rPr>
              <w:noProof/>
            </w:rPr>
            <w:fldChar w:fldCharType="begin"/>
          </w:r>
          <w:r w:rsidRPr="00A545E2">
            <w:rPr>
              <w:noProof/>
              <w:lang w:val="fr-CH"/>
            </w:rPr>
            <w:instrText xml:space="preserve"> PAGEREF _Toc514259780 \h </w:instrText>
          </w:r>
          <w:r>
            <w:rPr>
              <w:noProof/>
            </w:rPr>
          </w:r>
          <w:r>
            <w:rPr>
              <w:noProof/>
            </w:rPr>
            <w:fldChar w:fldCharType="separate"/>
          </w:r>
          <w:r w:rsidR="00F1574B">
            <w:rPr>
              <w:noProof/>
              <w:lang w:val="fr-CH"/>
            </w:rPr>
            <w:t>15</w:t>
          </w:r>
          <w:r>
            <w:rPr>
              <w:noProof/>
            </w:rPr>
            <w:fldChar w:fldCharType="end"/>
          </w:r>
        </w:p>
        <w:p w14:paraId="0E3A28C5" w14:textId="77777777" w:rsidR="00B9168B" w:rsidRPr="00A545E2" w:rsidRDefault="00B9168B" w:rsidP="00D41033">
          <w:pPr>
            <w:pStyle w:val="TOC1"/>
            <w:tabs>
              <w:tab w:val="clear" w:pos="7938"/>
              <w:tab w:val="left" w:leader="dot" w:pos="9356"/>
            </w:tabs>
            <w:rPr>
              <w:rFonts w:asciiTheme="minorHAnsi" w:eastAsiaTheme="minorEastAsia" w:hAnsiTheme="minorHAnsi" w:cstheme="minorBidi"/>
              <w:noProof/>
              <w:lang w:val="fr-CH" w:eastAsia="en-GB"/>
            </w:rPr>
          </w:pPr>
          <w:r w:rsidRPr="00A545E2">
            <w:rPr>
              <w:noProof/>
              <w:lang w:val="fr-CH"/>
            </w:rPr>
            <w:t>3.4</w:t>
          </w:r>
          <w:r w:rsidRPr="00A545E2">
            <w:rPr>
              <w:rFonts w:asciiTheme="minorHAnsi" w:eastAsiaTheme="minorEastAsia" w:hAnsiTheme="minorHAnsi" w:cstheme="minorBidi"/>
              <w:noProof/>
              <w:lang w:val="fr-CH" w:eastAsia="en-GB"/>
            </w:rPr>
            <w:tab/>
          </w:r>
          <w:r w:rsidRPr="00A545E2">
            <w:rPr>
              <w:noProof/>
              <w:lang w:val="fr-CH"/>
            </w:rPr>
            <w:t>Propagation Recommendations</w:t>
          </w:r>
          <w:r w:rsidRPr="00A545E2">
            <w:rPr>
              <w:noProof/>
              <w:lang w:val="fr-CH"/>
            </w:rPr>
            <w:tab/>
          </w:r>
          <w:r>
            <w:rPr>
              <w:noProof/>
            </w:rPr>
            <w:fldChar w:fldCharType="begin"/>
          </w:r>
          <w:r w:rsidRPr="00A545E2">
            <w:rPr>
              <w:noProof/>
              <w:lang w:val="fr-CH"/>
            </w:rPr>
            <w:instrText xml:space="preserve"> PAGEREF _Toc514259781 \h </w:instrText>
          </w:r>
          <w:r>
            <w:rPr>
              <w:noProof/>
            </w:rPr>
          </w:r>
          <w:r>
            <w:rPr>
              <w:noProof/>
            </w:rPr>
            <w:fldChar w:fldCharType="separate"/>
          </w:r>
          <w:r w:rsidR="00F1574B">
            <w:rPr>
              <w:noProof/>
              <w:lang w:val="fr-CH"/>
            </w:rPr>
            <w:t>16</w:t>
          </w:r>
          <w:r>
            <w:rPr>
              <w:noProof/>
            </w:rPr>
            <w:fldChar w:fldCharType="end"/>
          </w:r>
        </w:p>
        <w:p w14:paraId="683ABF9E"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3.4.1</w:t>
          </w:r>
          <w:r>
            <w:rPr>
              <w:rFonts w:asciiTheme="minorHAnsi" w:eastAsiaTheme="minorEastAsia" w:hAnsiTheme="minorHAnsi" w:cstheme="minorBidi"/>
              <w:noProof/>
              <w:lang w:eastAsia="en-GB"/>
            </w:rPr>
            <w:tab/>
          </w:r>
          <w:r>
            <w:rPr>
              <w:noProof/>
            </w:rPr>
            <w:t>Nature of the propagation model</w:t>
          </w:r>
          <w:r>
            <w:rPr>
              <w:noProof/>
            </w:rPr>
            <w:tab/>
          </w:r>
          <w:r>
            <w:rPr>
              <w:noProof/>
            </w:rPr>
            <w:fldChar w:fldCharType="begin"/>
          </w:r>
          <w:r>
            <w:rPr>
              <w:noProof/>
            </w:rPr>
            <w:instrText xml:space="preserve"> PAGEREF _Toc514259782 \h </w:instrText>
          </w:r>
          <w:r>
            <w:rPr>
              <w:noProof/>
            </w:rPr>
          </w:r>
          <w:r>
            <w:rPr>
              <w:noProof/>
            </w:rPr>
            <w:fldChar w:fldCharType="separate"/>
          </w:r>
          <w:r w:rsidR="00F1574B">
            <w:rPr>
              <w:noProof/>
            </w:rPr>
            <w:t>16</w:t>
          </w:r>
          <w:r>
            <w:rPr>
              <w:noProof/>
            </w:rPr>
            <w:fldChar w:fldCharType="end"/>
          </w:r>
        </w:p>
        <w:p w14:paraId="30D5F720"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3.4.2</w:t>
          </w:r>
          <w:r>
            <w:rPr>
              <w:rFonts w:asciiTheme="minorHAnsi" w:eastAsiaTheme="minorEastAsia" w:hAnsiTheme="minorHAnsi" w:cstheme="minorBidi"/>
              <w:noProof/>
              <w:lang w:eastAsia="en-GB"/>
            </w:rPr>
            <w:tab/>
          </w:r>
          <w:r>
            <w:rPr>
              <w:noProof/>
            </w:rPr>
            <w:t>Study Group 3 recommendations</w:t>
          </w:r>
          <w:r>
            <w:rPr>
              <w:noProof/>
            </w:rPr>
            <w:tab/>
          </w:r>
          <w:r>
            <w:rPr>
              <w:noProof/>
            </w:rPr>
            <w:fldChar w:fldCharType="begin"/>
          </w:r>
          <w:r>
            <w:rPr>
              <w:noProof/>
            </w:rPr>
            <w:instrText xml:space="preserve"> PAGEREF _Toc514259783 \h </w:instrText>
          </w:r>
          <w:r>
            <w:rPr>
              <w:noProof/>
            </w:rPr>
          </w:r>
          <w:r>
            <w:rPr>
              <w:noProof/>
            </w:rPr>
            <w:fldChar w:fldCharType="separate"/>
          </w:r>
          <w:r w:rsidR="00F1574B">
            <w:rPr>
              <w:noProof/>
            </w:rPr>
            <w:t>16</w:t>
          </w:r>
          <w:r>
            <w:rPr>
              <w:noProof/>
            </w:rPr>
            <w:fldChar w:fldCharType="end"/>
          </w:r>
        </w:p>
        <w:p w14:paraId="1B766197"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3.4.3</w:t>
          </w:r>
          <w:r>
            <w:rPr>
              <w:rFonts w:asciiTheme="minorHAnsi" w:eastAsiaTheme="minorEastAsia" w:hAnsiTheme="minorHAnsi" w:cstheme="minorBidi"/>
              <w:noProof/>
              <w:lang w:eastAsia="en-GB"/>
            </w:rPr>
            <w:tab/>
          </w:r>
          <w:r>
            <w:rPr>
              <w:noProof/>
            </w:rPr>
            <w:t>Study Group 3 terminology</w:t>
          </w:r>
          <w:r>
            <w:rPr>
              <w:noProof/>
            </w:rPr>
            <w:tab/>
          </w:r>
          <w:r>
            <w:rPr>
              <w:noProof/>
            </w:rPr>
            <w:fldChar w:fldCharType="begin"/>
          </w:r>
          <w:r>
            <w:rPr>
              <w:noProof/>
            </w:rPr>
            <w:instrText xml:space="preserve"> PAGEREF _Toc514259784 \h </w:instrText>
          </w:r>
          <w:r>
            <w:rPr>
              <w:noProof/>
            </w:rPr>
          </w:r>
          <w:r>
            <w:rPr>
              <w:noProof/>
            </w:rPr>
            <w:fldChar w:fldCharType="separate"/>
          </w:r>
          <w:r w:rsidR="00F1574B">
            <w:rPr>
              <w:noProof/>
            </w:rPr>
            <w:t>17</w:t>
          </w:r>
          <w:r>
            <w:rPr>
              <w:noProof/>
            </w:rPr>
            <w:fldChar w:fldCharType="end"/>
          </w:r>
        </w:p>
        <w:p w14:paraId="278AA4F7"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3.4.4</w:t>
          </w:r>
          <w:r>
            <w:rPr>
              <w:rFonts w:asciiTheme="minorHAnsi" w:eastAsiaTheme="minorEastAsia" w:hAnsiTheme="minorHAnsi" w:cstheme="minorBidi"/>
              <w:noProof/>
              <w:lang w:eastAsia="en-GB"/>
            </w:rPr>
            <w:tab/>
          </w:r>
          <w:r>
            <w:rPr>
              <w:noProof/>
            </w:rPr>
            <w:t>Symbols</w:t>
          </w:r>
          <w:r>
            <w:rPr>
              <w:noProof/>
            </w:rPr>
            <w:tab/>
          </w:r>
          <w:r>
            <w:rPr>
              <w:noProof/>
            </w:rPr>
            <w:fldChar w:fldCharType="begin"/>
          </w:r>
          <w:r>
            <w:rPr>
              <w:noProof/>
            </w:rPr>
            <w:instrText xml:space="preserve"> PAGEREF _Toc514259785 \h </w:instrText>
          </w:r>
          <w:r>
            <w:rPr>
              <w:noProof/>
            </w:rPr>
          </w:r>
          <w:r>
            <w:rPr>
              <w:noProof/>
            </w:rPr>
            <w:fldChar w:fldCharType="separate"/>
          </w:r>
          <w:r w:rsidR="00F1574B">
            <w:rPr>
              <w:noProof/>
            </w:rPr>
            <w:t>17</w:t>
          </w:r>
          <w:r>
            <w:rPr>
              <w:noProof/>
            </w:rPr>
            <w:fldChar w:fldCharType="end"/>
          </w:r>
        </w:p>
        <w:p w14:paraId="0CE759AC"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3.4.5</w:t>
          </w:r>
          <w:r>
            <w:rPr>
              <w:rFonts w:asciiTheme="minorHAnsi" w:eastAsiaTheme="minorEastAsia" w:hAnsiTheme="minorHAnsi" w:cstheme="minorBidi"/>
              <w:noProof/>
              <w:lang w:eastAsia="en-GB"/>
            </w:rPr>
            <w:tab/>
          </w:r>
          <w:r>
            <w:rPr>
              <w:noProof/>
            </w:rPr>
            <w:t>Reference data held in electronic form outside of the Recommendations</w:t>
          </w:r>
          <w:r>
            <w:rPr>
              <w:noProof/>
            </w:rPr>
            <w:tab/>
          </w:r>
          <w:r>
            <w:rPr>
              <w:noProof/>
            </w:rPr>
            <w:fldChar w:fldCharType="begin"/>
          </w:r>
          <w:r>
            <w:rPr>
              <w:noProof/>
            </w:rPr>
            <w:instrText xml:space="preserve"> PAGEREF _Toc514259786 \h </w:instrText>
          </w:r>
          <w:r>
            <w:rPr>
              <w:noProof/>
            </w:rPr>
          </w:r>
          <w:r>
            <w:rPr>
              <w:noProof/>
            </w:rPr>
            <w:fldChar w:fldCharType="separate"/>
          </w:r>
          <w:r w:rsidR="00F1574B">
            <w:rPr>
              <w:noProof/>
            </w:rPr>
            <w:t>18</w:t>
          </w:r>
          <w:r>
            <w:rPr>
              <w:noProof/>
            </w:rPr>
            <w:fldChar w:fldCharType="end"/>
          </w:r>
        </w:p>
        <w:p w14:paraId="2267C8F8"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3.4.6</w:t>
          </w:r>
          <w:r>
            <w:rPr>
              <w:rFonts w:asciiTheme="minorHAnsi" w:eastAsiaTheme="minorEastAsia" w:hAnsiTheme="minorHAnsi" w:cstheme="minorBidi"/>
              <w:noProof/>
              <w:lang w:eastAsia="en-GB"/>
            </w:rPr>
            <w:tab/>
          </w:r>
          <w:r>
            <w:rPr>
              <w:noProof/>
            </w:rPr>
            <w:t>Elements of the propagation model</w:t>
          </w:r>
          <w:r>
            <w:rPr>
              <w:noProof/>
            </w:rPr>
            <w:tab/>
          </w:r>
          <w:r>
            <w:rPr>
              <w:noProof/>
            </w:rPr>
            <w:fldChar w:fldCharType="begin"/>
          </w:r>
          <w:r>
            <w:rPr>
              <w:noProof/>
            </w:rPr>
            <w:instrText xml:space="preserve"> PAGEREF _Toc514259787 \h </w:instrText>
          </w:r>
          <w:r>
            <w:rPr>
              <w:noProof/>
            </w:rPr>
          </w:r>
          <w:r>
            <w:rPr>
              <w:noProof/>
            </w:rPr>
            <w:fldChar w:fldCharType="separate"/>
          </w:r>
          <w:r w:rsidR="00F1574B">
            <w:rPr>
              <w:noProof/>
            </w:rPr>
            <w:t>18</w:t>
          </w:r>
          <w:r>
            <w:rPr>
              <w:noProof/>
            </w:rPr>
            <w:fldChar w:fldCharType="end"/>
          </w:r>
        </w:p>
        <w:p w14:paraId="02958F6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3.4.7</w:t>
          </w:r>
          <w:r>
            <w:rPr>
              <w:rFonts w:asciiTheme="minorHAnsi" w:eastAsiaTheme="minorEastAsia" w:hAnsiTheme="minorHAnsi" w:cstheme="minorBidi"/>
              <w:noProof/>
              <w:lang w:eastAsia="en-GB"/>
            </w:rPr>
            <w:tab/>
          </w:r>
          <w:r>
            <w:rPr>
              <w:noProof/>
            </w:rPr>
            <w:t>Model evolution</w:t>
          </w:r>
          <w:r>
            <w:rPr>
              <w:noProof/>
            </w:rPr>
            <w:tab/>
          </w:r>
          <w:r>
            <w:rPr>
              <w:noProof/>
            </w:rPr>
            <w:fldChar w:fldCharType="begin"/>
          </w:r>
          <w:r>
            <w:rPr>
              <w:noProof/>
            </w:rPr>
            <w:instrText xml:space="preserve"> PAGEREF _Toc514259788 \h </w:instrText>
          </w:r>
          <w:r>
            <w:rPr>
              <w:noProof/>
            </w:rPr>
          </w:r>
          <w:r>
            <w:rPr>
              <w:noProof/>
            </w:rPr>
            <w:fldChar w:fldCharType="separate"/>
          </w:r>
          <w:r w:rsidR="00F1574B">
            <w:rPr>
              <w:noProof/>
            </w:rPr>
            <w:t>18</w:t>
          </w:r>
          <w:r>
            <w:rPr>
              <w:noProof/>
            </w:rPr>
            <w:fldChar w:fldCharType="end"/>
          </w:r>
        </w:p>
        <w:p w14:paraId="3EAA92C5"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3.4.8</w:t>
          </w:r>
          <w:r>
            <w:rPr>
              <w:rFonts w:asciiTheme="minorHAnsi" w:eastAsiaTheme="minorEastAsia" w:hAnsiTheme="minorHAnsi" w:cstheme="minorBidi"/>
              <w:noProof/>
              <w:lang w:eastAsia="en-GB"/>
            </w:rPr>
            <w:tab/>
          </w:r>
          <w:r>
            <w:rPr>
              <w:noProof/>
            </w:rPr>
            <w:t>Recommendation ITU-R P.620-4 propagation model(s)</w:t>
          </w:r>
          <w:r>
            <w:rPr>
              <w:noProof/>
            </w:rPr>
            <w:tab/>
          </w:r>
          <w:r>
            <w:rPr>
              <w:noProof/>
            </w:rPr>
            <w:fldChar w:fldCharType="begin"/>
          </w:r>
          <w:r>
            <w:rPr>
              <w:noProof/>
            </w:rPr>
            <w:instrText xml:space="preserve"> PAGEREF _Toc514259789 \h </w:instrText>
          </w:r>
          <w:r>
            <w:rPr>
              <w:noProof/>
            </w:rPr>
          </w:r>
          <w:r>
            <w:rPr>
              <w:noProof/>
            </w:rPr>
            <w:fldChar w:fldCharType="separate"/>
          </w:r>
          <w:r w:rsidR="00F1574B">
            <w:rPr>
              <w:noProof/>
            </w:rPr>
            <w:t>19</w:t>
          </w:r>
          <w:r>
            <w:rPr>
              <w:noProof/>
            </w:rPr>
            <w:fldChar w:fldCharType="end"/>
          </w:r>
        </w:p>
        <w:p w14:paraId="30CD6630"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3.4.9</w:t>
          </w:r>
          <w:r>
            <w:rPr>
              <w:rFonts w:asciiTheme="minorHAnsi" w:eastAsiaTheme="minorEastAsia" w:hAnsiTheme="minorHAnsi" w:cstheme="minorBidi"/>
              <w:noProof/>
              <w:lang w:eastAsia="en-GB"/>
            </w:rPr>
            <w:tab/>
          </w:r>
          <w:r>
            <w:rPr>
              <w:noProof/>
            </w:rPr>
            <w:t>Compatibility</w:t>
          </w:r>
          <w:r>
            <w:rPr>
              <w:noProof/>
            </w:rPr>
            <w:tab/>
          </w:r>
          <w:r>
            <w:rPr>
              <w:noProof/>
            </w:rPr>
            <w:fldChar w:fldCharType="begin"/>
          </w:r>
          <w:r>
            <w:rPr>
              <w:noProof/>
            </w:rPr>
            <w:instrText xml:space="preserve"> PAGEREF _Toc514259790 \h </w:instrText>
          </w:r>
          <w:r>
            <w:rPr>
              <w:noProof/>
            </w:rPr>
          </w:r>
          <w:r>
            <w:rPr>
              <w:noProof/>
            </w:rPr>
            <w:fldChar w:fldCharType="separate"/>
          </w:r>
          <w:r w:rsidR="00F1574B">
            <w:rPr>
              <w:noProof/>
            </w:rPr>
            <w:t>19</w:t>
          </w:r>
          <w:r>
            <w:rPr>
              <w:noProof/>
            </w:rPr>
            <w:fldChar w:fldCharType="end"/>
          </w:r>
        </w:p>
        <w:p w14:paraId="52D6090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3.5</w:t>
          </w:r>
          <w:r>
            <w:rPr>
              <w:rFonts w:asciiTheme="minorHAnsi" w:eastAsiaTheme="minorEastAsia" w:hAnsiTheme="minorHAnsi" w:cstheme="minorBidi"/>
              <w:noProof/>
              <w:lang w:eastAsia="en-GB"/>
            </w:rPr>
            <w:tab/>
          </w:r>
          <w:r>
            <w:rPr>
              <w:noProof/>
            </w:rPr>
            <w:t>Correction factor</w:t>
          </w:r>
          <w:r>
            <w:rPr>
              <w:noProof/>
            </w:rPr>
            <w:tab/>
          </w:r>
          <w:r>
            <w:rPr>
              <w:noProof/>
            </w:rPr>
            <w:fldChar w:fldCharType="begin"/>
          </w:r>
          <w:r>
            <w:rPr>
              <w:noProof/>
            </w:rPr>
            <w:instrText xml:space="preserve"> PAGEREF _Toc514259791 \h </w:instrText>
          </w:r>
          <w:r>
            <w:rPr>
              <w:noProof/>
            </w:rPr>
          </w:r>
          <w:r>
            <w:rPr>
              <w:noProof/>
            </w:rPr>
            <w:fldChar w:fldCharType="separate"/>
          </w:r>
          <w:r w:rsidR="00F1574B">
            <w:rPr>
              <w:noProof/>
            </w:rPr>
            <w:t>20</w:t>
          </w:r>
          <w:r>
            <w:rPr>
              <w:noProof/>
            </w:rPr>
            <w:fldChar w:fldCharType="end"/>
          </w:r>
        </w:p>
        <w:p w14:paraId="7824C687"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3.6</w:t>
          </w:r>
          <w:r>
            <w:rPr>
              <w:rFonts w:asciiTheme="minorHAnsi" w:eastAsiaTheme="minorEastAsia" w:hAnsiTheme="minorHAnsi" w:cstheme="minorBidi"/>
              <w:noProof/>
              <w:lang w:eastAsia="en-GB"/>
            </w:rPr>
            <w:tab/>
          </w:r>
          <w:r>
            <w:rPr>
              <w:noProof/>
            </w:rPr>
            <w:t>Testing</w:t>
          </w:r>
          <w:r>
            <w:rPr>
              <w:noProof/>
            </w:rPr>
            <w:tab/>
          </w:r>
          <w:r>
            <w:rPr>
              <w:noProof/>
            </w:rPr>
            <w:fldChar w:fldCharType="begin"/>
          </w:r>
          <w:r>
            <w:rPr>
              <w:noProof/>
            </w:rPr>
            <w:instrText xml:space="preserve"> PAGEREF _Toc514259792 \h </w:instrText>
          </w:r>
          <w:r>
            <w:rPr>
              <w:noProof/>
            </w:rPr>
          </w:r>
          <w:r>
            <w:rPr>
              <w:noProof/>
            </w:rPr>
            <w:fldChar w:fldCharType="separate"/>
          </w:r>
          <w:r w:rsidR="00F1574B">
            <w:rPr>
              <w:noProof/>
            </w:rPr>
            <w:t>20</w:t>
          </w:r>
          <w:r>
            <w:rPr>
              <w:noProof/>
            </w:rPr>
            <w:fldChar w:fldCharType="end"/>
          </w:r>
        </w:p>
        <w:p w14:paraId="35E10E59"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3.7</w:t>
          </w:r>
          <w:r>
            <w:rPr>
              <w:rFonts w:asciiTheme="minorHAnsi" w:eastAsiaTheme="minorEastAsia" w:hAnsiTheme="minorHAnsi" w:cstheme="minorBidi"/>
              <w:noProof/>
              <w:lang w:eastAsia="en-GB"/>
            </w:rPr>
            <w:tab/>
          </w:r>
          <w:r>
            <w:rPr>
              <w:noProof/>
            </w:rPr>
            <w:t>System Parameters</w:t>
          </w:r>
          <w:r>
            <w:rPr>
              <w:noProof/>
            </w:rPr>
            <w:tab/>
          </w:r>
          <w:r>
            <w:rPr>
              <w:noProof/>
            </w:rPr>
            <w:fldChar w:fldCharType="begin"/>
          </w:r>
          <w:r>
            <w:rPr>
              <w:noProof/>
            </w:rPr>
            <w:instrText xml:space="preserve"> PAGEREF _Toc514259793 \h </w:instrText>
          </w:r>
          <w:r>
            <w:rPr>
              <w:noProof/>
            </w:rPr>
          </w:r>
          <w:r>
            <w:rPr>
              <w:noProof/>
            </w:rPr>
            <w:fldChar w:fldCharType="separate"/>
          </w:r>
          <w:r w:rsidR="00F1574B">
            <w:rPr>
              <w:noProof/>
            </w:rPr>
            <w:t>21</w:t>
          </w:r>
          <w:r>
            <w:rPr>
              <w:noProof/>
            </w:rPr>
            <w:fldChar w:fldCharType="end"/>
          </w:r>
        </w:p>
        <w:p w14:paraId="15F035FD"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lang w:eastAsia="en-GB"/>
            </w:rPr>
            <w:tab/>
          </w:r>
          <w:r>
            <w:rPr>
              <w:noProof/>
            </w:rPr>
            <w:t xml:space="preserve">Revision of Recommendation ITU-R SM.1448 and/or the revision of </w:t>
          </w:r>
          <w:r w:rsidR="00620BD4">
            <w:rPr>
              <w:noProof/>
            </w:rPr>
            <w:br/>
          </w:r>
          <w:r>
            <w:rPr>
              <w:noProof/>
            </w:rPr>
            <w:t>Appendix 7 of the</w:t>
          </w:r>
          <w:r w:rsidR="00620BD4">
            <w:rPr>
              <w:noProof/>
            </w:rPr>
            <w:t xml:space="preserve"> </w:t>
          </w:r>
          <w:r>
            <w:rPr>
              <w:noProof/>
            </w:rPr>
            <w:t>Radio Regulations</w:t>
          </w:r>
          <w:r>
            <w:rPr>
              <w:noProof/>
            </w:rPr>
            <w:tab/>
          </w:r>
          <w:r>
            <w:rPr>
              <w:noProof/>
            </w:rPr>
            <w:fldChar w:fldCharType="begin"/>
          </w:r>
          <w:r>
            <w:rPr>
              <w:noProof/>
            </w:rPr>
            <w:instrText xml:space="preserve"> PAGEREF _Toc514259794 \h </w:instrText>
          </w:r>
          <w:r>
            <w:rPr>
              <w:noProof/>
            </w:rPr>
          </w:r>
          <w:r>
            <w:rPr>
              <w:noProof/>
            </w:rPr>
            <w:fldChar w:fldCharType="separate"/>
          </w:r>
          <w:r w:rsidR="00F1574B">
            <w:rPr>
              <w:noProof/>
            </w:rPr>
            <w:t>21</w:t>
          </w:r>
          <w:r>
            <w:rPr>
              <w:noProof/>
            </w:rPr>
            <w:fldChar w:fldCharType="end"/>
          </w:r>
        </w:p>
        <w:p w14:paraId="3B53F397"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4.1</w:t>
          </w:r>
          <w:r>
            <w:rPr>
              <w:rFonts w:asciiTheme="minorHAnsi" w:eastAsiaTheme="minorEastAsia" w:hAnsiTheme="minorHAnsi" w:cstheme="minorBidi"/>
              <w:noProof/>
              <w:lang w:eastAsia="en-GB"/>
            </w:rPr>
            <w:tab/>
          </w:r>
          <w:r w:rsidRPr="00D81F2D">
            <w:rPr>
              <w:noProof/>
              <w:color w:val="000000" w:themeColor="text1"/>
            </w:rPr>
            <w:t>Revision of Recommendation ITU-R SM.1448</w:t>
          </w:r>
          <w:r>
            <w:rPr>
              <w:noProof/>
            </w:rPr>
            <w:tab/>
          </w:r>
          <w:r>
            <w:rPr>
              <w:noProof/>
            </w:rPr>
            <w:fldChar w:fldCharType="begin"/>
          </w:r>
          <w:r>
            <w:rPr>
              <w:noProof/>
            </w:rPr>
            <w:instrText xml:space="preserve"> PAGEREF _Toc514259795 \h </w:instrText>
          </w:r>
          <w:r>
            <w:rPr>
              <w:noProof/>
            </w:rPr>
          </w:r>
          <w:r>
            <w:rPr>
              <w:noProof/>
            </w:rPr>
            <w:fldChar w:fldCharType="separate"/>
          </w:r>
          <w:r w:rsidR="00F1574B">
            <w:rPr>
              <w:noProof/>
            </w:rPr>
            <w:t>22</w:t>
          </w:r>
          <w:r>
            <w:rPr>
              <w:noProof/>
            </w:rPr>
            <w:fldChar w:fldCharType="end"/>
          </w:r>
        </w:p>
        <w:p w14:paraId="1EB4C90A"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4.1.1</w:t>
          </w:r>
          <w:r>
            <w:rPr>
              <w:rFonts w:asciiTheme="minorHAnsi" w:eastAsiaTheme="minorEastAsia" w:hAnsiTheme="minorHAnsi" w:cstheme="minorBidi"/>
              <w:noProof/>
              <w:lang w:eastAsia="en-GB"/>
            </w:rPr>
            <w:tab/>
          </w:r>
          <w:r w:rsidRPr="00D81F2D">
            <w:rPr>
              <w:noProof/>
              <w:color w:val="000000" w:themeColor="text1"/>
            </w:rPr>
            <w:t>Revision of Recommendation ITU-R SM.1448 separately from Appendix 7</w:t>
          </w:r>
          <w:r>
            <w:rPr>
              <w:noProof/>
            </w:rPr>
            <w:tab/>
          </w:r>
          <w:r>
            <w:rPr>
              <w:noProof/>
            </w:rPr>
            <w:fldChar w:fldCharType="begin"/>
          </w:r>
          <w:r>
            <w:rPr>
              <w:noProof/>
            </w:rPr>
            <w:instrText xml:space="preserve"> PAGEREF _Toc514259796 \h </w:instrText>
          </w:r>
          <w:r>
            <w:rPr>
              <w:noProof/>
            </w:rPr>
          </w:r>
          <w:r>
            <w:rPr>
              <w:noProof/>
            </w:rPr>
            <w:fldChar w:fldCharType="separate"/>
          </w:r>
          <w:r w:rsidR="00F1574B">
            <w:rPr>
              <w:noProof/>
            </w:rPr>
            <w:t>22</w:t>
          </w:r>
          <w:r>
            <w:rPr>
              <w:noProof/>
            </w:rPr>
            <w:fldChar w:fldCharType="end"/>
          </w:r>
        </w:p>
        <w:p w14:paraId="18914EAA"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4.1.2</w:t>
          </w:r>
          <w:r>
            <w:rPr>
              <w:rFonts w:asciiTheme="minorHAnsi" w:eastAsiaTheme="minorEastAsia" w:hAnsiTheme="minorHAnsi" w:cstheme="minorBidi"/>
              <w:noProof/>
              <w:lang w:eastAsia="en-GB"/>
            </w:rPr>
            <w:tab/>
          </w:r>
          <w:r w:rsidRPr="00D81F2D">
            <w:rPr>
              <w:noProof/>
              <w:color w:val="000000" w:themeColor="text1"/>
            </w:rPr>
            <w:t xml:space="preserve">Revision of Recommendation ITU-R SM.1448 and subsequent revision of </w:t>
          </w:r>
          <w:r w:rsidR="00620BD4">
            <w:rPr>
              <w:noProof/>
              <w:color w:val="000000" w:themeColor="text1"/>
            </w:rPr>
            <w:br/>
          </w:r>
          <w:r w:rsidRPr="00D81F2D">
            <w:rPr>
              <w:noProof/>
              <w:color w:val="000000" w:themeColor="text1"/>
            </w:rPr>
            <w:t>Appendix 7</w:t>
          </w:r>
          <w:r w:rsidR="00620BD4">
            <w:rPr>
              <w:noProof/>
              <w:color w:val="000000" w:themeColor="text1"/>
            </w:rPr>
            <w:t xml:space="preserve"> </w:t>
          </w:r>
          <w:r w:rsidRPr="00D81F2D">
            <w:rPr>
              <w:noProof/>
              <w:color w:val="000000" w:themeColor="text1"/>
            </w:rPr>
            <w:t>via the application of Resolution 74 (Rev.WRC-03)</w:t>
          </w:r>
          <w:r>
            <w:rPr>
              <w:noProof/>
            </w:rPr>
            <w:tab/>
          </w:r>
          <w:r>
            <w:rPr>
              <w:noProof/>
            </w:rPr>
            <w:fldChar w:fldCharType="begin"/>
          </w:r>
          <w:r>
            <w:rPr>
              <w:noProof/>
            </w:rPr>
            <w:instrText xml:space="preserve"> PAGEREF _Toc514259797 \h </w:instrText>
          </w:r>
          <w:r>
            <w:rPr>
              <w:noProof/>
            </w:rPr>
          </w:r>
          <w:r>
            <w:rPr>
              <w:noProof/>
            </w:rPr>
            <w:fldChar w:fldCharType="separate"/>
          </w:r>
          <w:r w:rsidR="00F1574B">
            <w:rPr>
              <w:noProof/>
            </w:rPr>
            <w:t>22</w:t>
          </w:r>
          <w:r>
            <w:rPr>
              <w:noProof/>
            </w:rPr>
            <w:fldChar w:fldCharType="end"/>
          </w:r>
        </w:p>
        <w:p w14:paraId="198394EB"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4.2</w:t>
          </w:r>
          <w:r>
            <w:rPr>
              <w:rFonts w:asciiTheme="minorHAnsi" w:eastAsiaTheme="minorEastAsia" w:hAnsiTheme="minorHAnsi" w:cstheme="minorBidi"/>
              <w:noProof/>
              <w:lang w:eastAsia="en-GB"/>
            </w:rPr>
            <w:tab/>
          </w:r>
          <w:r w:rsidRPr="00D81F2D">
            <w:rPr>
              <w:noProof/>
              <w:color w:val="000000" w:themeColor="text1"/>
            </w:rPr>
            <w:t>Revision of Appendix 7</w:t>
          </w:r>
          <w:r>
            <w:rPr>
              <w:noProof/>
            </w:rPr>
            <w:tab/>
          </w:r>
          <w:r>
            <w:rPr>
              <w:noProof/>
            </w:rPr>
            <w:fldChar w:fldCharType="begin"/>
          </w:r>
          <w:r>
            <w:rPr>
              <w:noProof/>
            </w:rPr>
            <w:instrText xml:space="preserve"> PAGEREF _Toc514259798 \h </w:instrText>
          </w:r>
          <w:r>
            <w:rPr>
              <w:noProof/>
            </w:rPr>
          </w:r>
          <w:r>
            <w:rPr>
              <w:noProof/>
            </w:rPr>
            <w:fldChar w:fldCharType="separate"/>
          </w:r>
          <w:r w:rsidR="00F1574B">
            <w:rPr>
              <w:noProof/>
            </w:rPr>
            <w:t>23</w:t>
          </w:r>
          <w:r>
            <w:rPr>
              <w:noProof/>
            </w:rPr>
            <w:fldChar w:fldCharType="end"/>
          </w:r>
        </w:p>
        <w:p w14:paraId="67F4C7F2"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5</w:t>
          </w:r>
          <w:r>
            <w:rPr>
              <w:rFonts w:asciiTheme="minorHAnsi" w:eastAsiaTheme="minorEastAsia" w:hAnsiTheme="minorHAnsi" w:cstheme="minorBidi"/>
              <w:noProof/>
              <w:lang w:eastAsia="en-GB"/>
            </w:rPr>
            <w:tab/>
          </w:r>
          <w:r>
            <w:rPr>
              <w:noProof/>
            </w:rPr>
            <w:t>Study Group 1 maintenance of Recommendation ITU-R SM.1448</w:t>
          </w:r>
          <w:r>
            <w:rPr>
              <w:noProof/>
            </w:rPr>
            <w:tab/>
          </w:r>
          <w:r>
            <w:rPr>
              <w:noProof/>
            </w:rPr>
            <w:fldChar w:fldCharType="begin"/>
          </w:r>
          <w:r>
            <w:rPr>
              <w:noProof/>
            </w:rPr>
            <w:instrText xml:space="preserve"> PAGEREF _Toc514259799 \h </w:instrText>
          </w:r>
          <w:r>
            <w:rPr>
              <w:noProof/>
            </w:rPr>
          </w:r>
          <w:r>
            <w:rPr>
              <w:noProof/>
            </w:rPr>
            <w:fldChar w:fldCharType="separate"/>
          </w:r>
          <w:r w:rsidR="00F1574B">
            <w:rPr>
              <w:noProof/>
            </w:rPr>
            <w:t>23</w:t>
          </w:r>
          <w:r>
            <w:rPr>
              <w:noProof/>
            </w:rPr>
            <w:fldChar w:fldCharType="end"/>
          </w:r>
        </w:p>
        <w:p w14:paraId="34A7812E"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5.1</w:t>
          </w:r>
          <w:r>
            <w:rPr>
              <w:rFonts w:asciiTheme="minorHAnsi" w:eastAsiaTheme="minorEastAsia" w:hAnsiTheme="minorHAnsi" w:cstheme="minorBidi"/>
              <w:noProof/>
              <w:lang w:eastAsia="en-GB"/>
            </w:rPr>
            <w:tab/>
          </w:r>
          <w:r w:rsidRPr="00D81F2D">
            <w:rPr>
              <w:noProof/>
              <w:color w:val="000000" w:themeColor="text1"/>
            </w:rPr>
            <w:t>Nature of Recommendation ITU-R SM.1448</w:t>
          </w:r>
          <w:r>
            <w:rPr>
              <w:noProof/>
            </w:rPr>
            <w:tab/>
          </w:r>
          <w:r>
            <w:rPr>
              <w:noProof/>
            </w:rPr>
            <w:fldChar w:fldCharType="begin"/>
          </w:r>
          <w:r>
            <w:rPr>
              <w:noProof/>
            </w:rPr>
            <w:instrText xml:space="preserve"> PAGEREF _Toc514259800 \h </w:instrText>
          </w:r>
          <w:r>
            <w:rPr>
              <w:noProof/>
            </w:rPr>
          </w:r>
          <w:r>
            <w:rPr>
              <w:noProof/>
            </w:rPr>
            <w:fldChar w:fldCharType="separate"/>
          </w:r>
          <w:r w:rsidR="00F1574B">
            <w:rPr>
              <w:noProof/>
            </w:rPr>
            <w:t>24</w:t>
          </w:r>
          <w:r>
            <w:rPr>
              <w:noProof/>
            </w:rPr>
            <w:fldChar w:fldCharType="end"/>
          </w:r>
        </w:p>
        <w:p w14:paraId="19139BA1"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sidRPr="00D81F2D">
            <w:rPr>
              <w:noProof/>
              <w:color w:val="000000" w:themeColor="text1"/>
            </w:rPr>
            <w:t>5.2</w:t>
          </w:r>
          <w:r>
            <w:rPr>
              <w:rFonts w:asciiTheme="minorHAnsi" w:eastAsiaTheme="minorEastAsia" w:hAnsiTheme="minorHAnsi" w:cstheme="minorBidi"/>
              <w:noProof/>
              <w:lang w:eastAsia="en-GB"/>
            </w:rPr>
            <w:tab/>
          </w:r>
          <w:r w:rsidRPr="00D81F2D">
            <w:rPr>
              <w:noProof/>
              <w:color w:val="000000" w:themeColor="text1"/>
            </w:rPr>
            <w:t xml:space="preserve">A prospective procedure to assist review of Recommendation </w:t>
          </w:r>
          <w:r w:rsidR="00620BD4">
            <w:rPr>
              <w:noProof/>
              <w:color w:val="000000" w:themeColor="text1"/>
            </w:rPr>
            <w:br/>
          </w:r>
          <w:r w:rsidRPr="00D81F2D">
            <w:rPr>
              <w:noProof/>
              <w:color w:val="000000" w:themeColor="text1"/>
            </w:rPr>
            <w:t>ITU-R SM.1448</w:t>
          </w:r>
          <w:r>
            <w:rPr>
              <w:noProof/>
            </w:rPr>
            <w:tab/>
          </w:r>
          <w:r>
            <w:rPr>
              <w:noProof/>
            </w:rPr>
            <w:fldChar w:fldCharType="begin"/>
          </w:r>
          <w:r>
            <w:rPr>
              <w:noProof/>
            </w:rPr>
            <w:instrText xml:space="preserve"> PAGEREF _Toc514259801 \h </w:instrText>
          </w:r>
          <w:r>
            <w:rPr>
              <w:noProof/>
            </w:rPr>
          </w:r>
          <w:r>
            <w:rPr>
              <w:noProof/>
            </w:rPr>
            <w:fldChar w:fldCharType="separate"/>
          </w:r>
          <w:r w:rsidR="00F1574B">
            <w:rPr>
              <w:noProof/>
            </w:rPr>
            <w:t>24</w:t>
          </w:r>
          <w:r>
            <w:rPr>
              <w:noProof/>
            </w:rPr>
            <w:fldChar w:fldCharType="end"/>
          </w:r>
        </w:p>
        <w:p w14:paraId="204621C4"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rPr>
            <w:t>6</w:t>
          </w:r>
          <w:r>
            <w:rPr>
              <w:rFonts w:asciiTheme="minorHAnsi" w:eastAsiaTheme="minorEastAsia" w:hAnsiTheme="minorHAnsi" w:cstheme="minorBidi"/>
              <w:noProof/>
              <w:lang w:eastAsia="en-GB"/>
            </w:rPr>
            <w:tab/>
          </w:r>
          <w:r>
            <w:rPr>
              <w:noProof/>
            </w:rPr>
            <w:t>Conclusion</w:t>
          </w:r>
          <w:r>
            <w:rPr>
              <w:noProof/>
            </w:rPr>
            <w:tab/>
          </w:r>
          <w:r>
            <w:rPr>
              <w:noProof/>
            </w:rPr>
            <w:fldChar w:fldCharType="begin"/>
          </w:r>
          <w:r>
            <w:rPr>
              <w:noProof/>
            </w:rPr>
            <w:instrText xml:space="preserve"> PAGEREF _Toc514259802 \h </w:instrText>
          </w:r>
          <w:r>
            <w:rPr>
              <w:noProof/>
            </w:rPr>
          </w:r>
          <w:r>
            <w:rPr>
              <w:noProof/>
            </w:rPr>
            <w:fldChar w:fldCharType="separate"/>
          </w:r>
          <w:r w:rsidR="00F1574B">
            <w:rPr>
              <w:noProof/>
            </w:rPr>
            <w:t>25</w:t>
          </w:r>
          <w:r>
            <w:rPr>
              <w:noProof/>
            </w:rPr>
            <w:fldChar w:fldCharType="end"/>
          </w:r>
        </w:p>
        <w:p w14:paraId="3D8A3179" w14:textId="77777777" w:rsidR="00B9168B" w:rsidRDefault="00B9168B" w:rsidP="00D41033">
          <w:pPr>
            <w:pStyle w:val="TOC1"/>
            <w:tabs>
              <w:tab w:val="clear" w:pos="7938"/>
              <w:tab w:val="left" w:leader="dot" w:pos="9356"/>
            </w:tabs>
            <w:rPr>
              <w:rFonts w:asciiTheme="minorHAnsi" w:eastAsiaTheme="minorEastAsia" w:hAnsiTheme="minorHAnsi" w:cstheme="minorBidi"/>
              <w:noProof/>
              <w:lang w:eastAsia="en-GB"/>
            </w:rPr>
          </w:pPr>
          <w:r>
            <w:rPr>
              <w:noProof/>
              <w:lang w:eastAsia="zh-CN"/>
            </w:rPr>
            <w:t xml:space="preserve">ATTACHMENT 1 </w:t>
          </w:r>
          <w:r>
            <w:rPr>
              <w:noProof/>
            </w:rPr>
            <w:t xml:space="preserve">Review of </w:t>
          </w:r>
          <w:r>
            <w:rPr>
              <w:noProof/>
              <w:lang w:eastAsia="en-GB"/>
            </w:rPr>
            <w:t xml:space="preserve">Appendix 28 (S7) </w:t>
          </w:r>
          <w:r>
            <w:rPr>
              <w:noProof/>
            </w:rPr>
            <w:t>within Study Group 1</w:t>
          </w:r>
          <w:r>
            <w:rPr>
              <w:noProof/>
            </w:rPr>
            <w:tab/>
          </w:r>
          <w:r>
            <w:rPr>
              <w:noProof/>
            </w:rPr>
            <w:fldChar w:fldCharType="begin"/>
          </w:r>
          <w:r>
            <w:rPr>
              <w:noProof/>
            </w:rPr>
            <w:instrText xml:space="preserve"> PAGEREF _Toc514259804 \h </w:instrText>
          </w:r>
          <w:r>
            <w:rPr>
              <w:noProof/>
            </w:rPr>
          </w:r>
          <w:r>
            <w:rPr>
              <w:noProof/>
            </w:rPr>
            <w:fldChar w:fldCharType="separate"/>
          </w:r>
          <w:r w:rsidR="00F1574B">
            <w:rPr>
              <w:noProof/>
            </w:rPr>
            <w:t>27</w:t>
          </w:r>
          <w:r>
            <w:rPr>
              <w:noProof/>
            </w:rPr>
            <w:fldChar w:fldCharType="end"/>
          </w:r>
        </w:p>
        <w:p w14:paraId="7998BD8E" w14:textId="77777777" w:rsidR="00B9168B" w:rsidRPr="00ED2469" w:rsidRDefault="00B9168B" w:rsidP="00D41033">
          <w:pPr>
            <w:pStyle w:val="TOC1"/>
            <w:tabs>
              <w:tab w:val="clear" w:pos="7938"/>
              <w:tab w:val="left" w:leader="dot" w:pos="9356"/>
            </w:tabs>
            <w:rPr>
              <w:szCs w:val="22"/>
            </w:rPr>
          </w:pPr>
          <w:r>
            <w:lastRenderedPageBreak/>
            <w:fldChar w:fldCharType="end"/>
          </w:r>
          <w:r w:rsidR="00A00CA4">
            <w:t xml:space="preserve">ATTACHMENT 2 </w:t>
          </w:r>
          <w:r w:rsidR="00A00CA4" w:rsidRPr="0588217F">
            <w:t>Revisions to Recommendation ITU-R SM.1448-0 (2015-2019)</w:t>
          </w:r>
          <w:r w:rsidR="00A00CA4" w:rsidRPr="00A00CA4">
            <w:rPr>
              <w:noProof/>
            </w:rPr>
            <w:t xml:space="preserve"> </w:t>
          </w:r>
          <w:r w:rsidR="00BF7863">
            <w:rPr>
              <w:noProof/>
            </w:rPr>
            <w:tab/>
          </w:r>
          <w:r w:rsidR="00A00CA4">
            <w:rPr>
              <w:noProof/>
            </w:rPr>
            <w:t>29</w:t>
          </w:r>
        </w:p>
      </w:sdtContent>
    </w:sdt>
    <w:p w14:paraId="73ACDF2D" w14:textId="77777777" w:rsidR="00B9168B" w:rsidRPr="00D71F93" w:rsidRDefault="00B9168B" w:rsidP="00B9168B">
      <w:pPr>
        <w:pStyle w:val="Heading1"/>
        <w:tabs>
          <w:tab w:val="center" w:pos="4876"/>
        </w:tabs>
      </w:pPr>
      <w:bookmarkStart w:id="8" w:name="_Toc514255658"/>
      <w:bookmarkStart w:id="9" w:name="_Toc514259765"/>
      <w:r w:rsidRPr="00D71F93">
        <w:t>1</w:t>
      </w:r>
      <w:r w:rsidRPr="00D71F93">
        <w:tab/>
        <w:t>Introduction</w:t>
      </w:r>
      <w:bookmarkEnd w:id="8"/>
      <w:bookmarkEnd w:id="9"/>
    </w:p>
    <w:p w14:paraId="49FAC572" w14:textId="3FD4A246" w:rsidR="00B9168B" w:rsidRPr="00D71F93" w:rsidRDefault="00B9168B" w:rsidP="00D41033">
      <w:pPr>
        <w:rPr>
          <w:i/>
          <w:iCs/>
        </w:rPr>
      </w:pPr>
      <w:r>
        <w:t xml:space="preserve">This </w:t>
      </w:r>
      <w:r w:rsidR="005A20FE" w:rsidRPr="00D41033">
        <w:t>Supplement</w:t>
      </w:r>
      <w:r>
        <w:t xml:space="preserve"> provides an overview of the issues associated with the maintenance of Recommendation ITU-R </w:t>
      </w:r>
      <w:hyperlink r:id="rId11" w:history="1">
        <w:r w:rsidRPr="00067C55">
          <w:rPr>
            <w:rStyle w:val="Hyperlink"/>
            <w:color w:val="auto"/>
            <w:u w:val="none"/>
          </w:rPr>
          <w:t>SM.1448</w:t>
        </w:r>
      </w:hyperlink>
      <w:r w:rsidR="00067C55">
        <w:t xml:space="preserve"> -</w:t>
      </w:r>
      <w:r>
        <w:t xml:space="preserve"> </w:t>
      </w:r>
      <w:r w:rsidRPr="00067C55">
        <w:rPr>
          <w:iCs/>
        </w:rPr>
        <w:t>Determination of the coordination area around an earth station in the frequency bands between 100 MHz and 105 GHz</w:t>
      </w:r>
      <w:r w:rsidRPr="00067C55">
        <w:t xml:space="preserve"> and its relationship with Appendix </w:t>
      </w:r>
      <w:r w:rsidRPr="00067C55">
        <w:rPr>
          <w:b/>
          <w:bCs/>
        </w:rPr>
        <w:t>7</w:t>
      </w:r>
      <w:r w:rsidRPr="00067C55">
        <w:t xml:space="preserve"> of the Radio Regulations </w:t>
      </w:r>
      <w:r w:rsidRPr="00067C55">
        <w:rPr>
          <w:iCs/>
        </w:rPr>
        <w:t>Methods for the determination of the coordination area around an earth station in frequency bands between 100 MHz and 105 GHz.</w:t>
      </w:r>
    </w:p>
    <w:p w14:paraId="3475893F" w14:textId="32950213" w:rsidR="00B9168B" w:rsidRPr="00D71F93" w:rsidRDefault="00B9168B" w:rsidP="00B9168B">
      <w:r>
        <w:t xml:space="preserve">Recommendation ITU-R SM.1448 was approved by RA-2000 and </w:t>
      </w:r>
      <w:r w:rsidR="00572BEC">
        <w:t xml:space="preserve">up to </w:t>
      </w:r>
      <w:r w:rsidR="00897338">
        <w:t>201</w:t>
      </w:r>
      <w:r w:rsidR="00572BEC">
        <w:t>6</w:t>
      </w:r>
      <w:r w:rsidR="00897338">
        <w:t xml:space="preserve"> </w:t>
      </w:r>
      <w:r>
        <w:t>ha</w:t>
      </w:r>
      <w:r w:rsidR="00897338">
        <w:t>d</w:t>
      </w:r>
      <w:r>
        <w:t xml:space="preserve"> not been revised. However, since WRC-2000 every WRC has revised parts of Appendix </w:t>
      </w:r>
      <w:r w:rsidRPr="0588217F">
        <w:rPr>
          <w:b/>
          <w:bCs/>
        </w:rPr>
        <w:t>7</w:t>
      </w:r>
      <w:r>
        <w:t xml:space="preserve">, usually just the system parameter tables to take account of new and revised frequency bands. The changes to Appendix </w:t>
      </w:r>
      <w:r w:rsidRPr="0588217F">
        <w:rPr>
          <w:b/>
          <w:bCs/>
        </w:rPr>
        <w:t>7</w:t>
      </w:r>
      <w:r>
        <w:t xml:space="preserve"> indicate a need for a maintenance activity to align the Recommendation itself with Appendix </w:t>
      </w:r>
      <w:r w:rsidRPr="0588217F">
        <w:rPr>
          <w:b/>
          <w:bCs/>
        </w:rPr>
        <w:t xml:space="preserve">7 </w:t>
      </w:r>
      <w:r>
        <w:t xml:space="preserve">and also any supporting documentation that may reside in other ITU Working Parties. A requirement identified in Resolution </w:t>
      </w:r>
      <w:r w:rsidRPr="0588217F">
        <w:rPr>
          <w:b/>
          <w:bCs/>
        </w:rPr>
        <w:t>74</w:t>
      </w:r>
      <w:r>
        <w:t xml:space="preserve"> (</w:t>
      </w:r>
      <w:r w:rsidRPr="0588217F">
        <w:rPr>
          <w:b/>
          <w:bCs/>
        </w:rPr>
        <w:t>Rev.WRC-03</w:t>
      </w:r>
      <w:r>
        <w:t xml:space="preserve">) </w:t>
      </w:r>
      <w:r w:rsidRPr="0588217F">
        <w:rPr>
          <w:i/>
          <w:iCs/>
        </w:rPr>
        <w:t>Process to keep the technical bases of Appendix 7 current.</w:t>
      </w:r>
    </w:p>
    <w:p w14:paraId="1C1EFFC5" w14:textId="77777777" w:rsidR="00B9168B" w:rsidRPr="00D41033" w:rsidRDefault="00B9168B" w:rsidP="00B9168B">
      <w:r>
        <w:t xml:space="preserve">The </w:t>
      </w:r>
      <w:r w:rsidRPr="00D41033">
        <w:t>development process for the original Recommendation encountered considerable difficulties. It spanned two WRC cycles and was only completed after significant in depth work within a Task Group (</w:t>
      </w:r>
      <w:r w:rsidR="00243F58" w:rsidRPr="00D41033">
        <w:t xml:space="preserve">the former </w:t>
      </w:r>
      <w:r w:rsidRPr="00D41033">
        <w:t xml:space="preserve">TG 1/6) and supporting Working Parties. In any future revision of the Recommendation, it would be preferable to avoid the same problems and minimise difficulties. </w:t>
      </w:r>
      <w:r w:rsidR="00572BEC" w:rsidRPr="00D41033">
        <w:t>T</w:t>
      </w:r>
      <w:r w:rsidRPr="00D41033">
        <w:t xml:space="preserve">his can be achieved </w:t>
      </w:r>
      <w:r w:rsidR="00572BEC" w:rsidRPr="00D41033">
        <w:t xml:space="preserve">by </w:t>
      </w:r>
      <w:r w:rsidRPr="00D41033">
        <w:t>identify</w:t>
      </w:r>
      <w:r w:rsidR="00572BEC" w:rsidRPr="00D41033">
        <w:t>ing</w:t>
      </w:r>
      <w:r w:rsidRPr="00D41033">
        <w:t xml:space="preserve"> the issues encountered in developing Recommendation ITU-R SM.1448-0. It is then necessary to develop a process that takes into consideration these issues and other challenges arising from the Recommendation’s association with Appendix </w:t>
      </w:r>
      <w:r w:rsidRPr="00D41033">
        <w:rPr>
          <w:b/>
          <w:bCs/>
        </w:rPr>
        <w:t>7</w:t>
      </w:r>
      <w:r w:rsidRPr="00D41033">
        <w:t xml:space="preserve">. </w:t>
      </w:r>
    </w:p>
    <w:p w14:paraId="6C46DFC9" w14:textId="77777777" w:rsidR="00B9168B" w:rsidRPr="00D71F93" w:rsidRDefault="00B9168B" w:rsidP="00B9168B">
      <w:r w:rsidRPr="00D41033">
        <w:t xml:space="preserve">This </w:t>
      </w:r>
      <w:r w:rsidR="005A20FE" w:rsidRPr="00D41033">
        <w:t>Supplement</w:t>
      </w:r>
      <w:r w:rsidRPr="00D41033">
        <w:t xml:space="preserve"> details the inter-dependency between different elements of the Recommendation, its support to the Appendix </w:t>
      </w:r>
      <w:r w:rsidRPr="00D41033">
        <w:rPr>
          <w:b/>
          <w:bCs/>
        </w:rPr>
        <w:t>7</w:t>
      </w:r>
      <w:r w:rsidRPr="00D41033">
        <w:t xml:space="preserve"> procedures and the need to ensure all changes are fully controlled to avoid contradictions occurring</w:t>
      </w:r>
      <w:r>
        <w:t xml:space="preserve"> over time within the Recommendation or between the Recommendation and Appendix </w:t>
      </w:r>
      <w:r w:rsidRPr="0588217F">
        <w:rPr>
          <w:b/>
          <w:bCs/>
        </w:rPr>
        <w:t>7</w:t>
      </w:r>
      <w:r>
        <w:t>.</w:t>
      </w:r>
    </w:p>
    <w:p w14:paraId="76041D33" w14:textId="77777777" w:rsidR="00B9168B" w:rsidRPr="00D71F93" w:rsidRDefault="00B9168B" w:rsidP="00B9168B">
      <w:pPr>
        <w:rPr>
          <w:szCs w:val="24"/>
        </w:rPr>
      </w:pPr>
      <w:r>
        <w:t xml:space="preserve">Noting any revision of Recommendation ITU-R SM.1448 would have to consider that: </w:t>
      </w:r>
    </w:p>
    <w:p w14:paraId="16E11F0C" w14:textId="77777777" w:rsidR="00B9168B" w:rsidRPr="00D71F93" w:rsidRDefault="00B9168B" w:rsidP="00B9168B">
      <w:pPr>
        <w:pStyle w:val="enumlev1"/>
      </w:pPr>
      <w:r w:rsidRPr="00D71F93">
        <w:t>–</w:t>
      </w:r>
      <w:r w:rsidRPr="00D71F93">
        <w:tab/>
        <w:t xml:space="preserve">inclusion of the composite version of </w:t>
      </w:r>
      <w:r w:rsidRPr="0588217F">
        <w:t xml:space="preserve">Recommendation </w:t>
      </w:r>
      <w:hyperlink r:id="rId12" w:history="1">
        <w:r w:rsidRPr="00067C55">
          <w:rPr>
            <w:rStyle w:val="Hyperlink"/>
            <w:color w:val="auto"/>
            <w:u w:val="none"/>
          </w:rPr>
          <w:t>ITU-R P.620</w:t>
        </w:r>
      </w:hyperlink>
      <w:r w:rsidRPr="0588217F">
        <w:rPr>
          <w:b/>
          <w:bCs/>
          <w:i/>
          <w:iCs/>
        </w:rPr>
        <w:t xml:space="preserve"> </w:t>
      </w:r>
      <w:r w:rsidRPr="00D71F93">
        <w:t>required modification of its texts;</w:t>
      </w:r>
    </w:p>
    <w:p w14:paraId="5570CA07" w14:textId="77777777" w:rsidR="00B9168B" w:rsidRPr="00D71F93" w:rsidRDefault="00B9168B" w:rsidP="00B9168B">
      <w:pPr>
        <w:pStyle w:val="enumlev1"/>
        <w:rPr>
          <w:szCs w:val="24"/>
        </w:rPr>
      </w:pPr>
      <w:r w:rsidRPr="00D71F93">
        <w:t>–</w:t>
      </w:r>
      <w:r w:rsidRPr="00D71F93">
        <w:tab/>
        <w:t xml:space="preserve">taking the most recent version of the component propagation recommendations of </w:t>
      </w:r>
      <w:r w:rsidRPr="0588217F">
        <w:t>Recommendation ITU-R</w:t>
      </w:r>
      <w:r w:rsidRPr="00D71F93">
        <w:t xml:space="preserve"> P.620 may not produce a workable composite recommendation;</w:t>
      </w:r>
    </w:p>
    <w:p w14:paraId="630350FF" w14:textId="77777777" w:rsidR="00B9168B" w:rsidRPr="00D71F93" w:rsidRDefault="00B9168B" w:rsidP="00B9168B">
      <w:pPr>
        <w:pStyle w:val="enumlev1"/>
      </w:pPr>
      <w:r w:rsidRPr="00D71F93">
        <w:t>–</w:t>
      </w:r>
      <w:r w:rsidRPr="00D71F93">
        <w:tab/>
        <w:t xml:space="preserve">development over time, of the component recommendations, may make them unsuitable for inclusion within a composite propagation text; </w:t>
      </w:r>
    </w:p>
    <w:p w14:paraId="11473A67" w14:textId="77777777" w:rsidR="00B9168B" w:rsidRPr="00D71F93" w:rsidRDefault="00B9168B" w:rsidP="00B9168B">
      <w:pPr>
        <w:pStyle w:val="enumlev1"/>
        <w:rPr>
          <w:szCs w:val="24"/>
        </w:rPr>
      </w:pPr>
      <w:r w:rsidRPr="00D71F93">
        <w:t>–</w:t>
      </w:r>
      <w:r w:rsidRPr="00D71F93">
        <w:tab/>
        <w:t xml:space="preserve">considerable changes had to be made to the P.620 text to make it compatible with system based texts </w:t>
      </w:r>
      <w:r>
        <w:t>–</w:t>
      </w:r>
      <w:r w:rsidRPr="00D71F93">
        <w:t xml:space="preserve"> apart from issues like the correction factor, these changes include a common terminology, symbols, signing (+ or </w:t>
      </w:r>
      <w:r>
        <w:t>–</w:t>
      </w:r>
      <w:r w:rsidRPr="00D71F93">
        <w:t xml:space="preserve"> on terms) that affects equation structure, etc.; and,</w:t>
      </w:r>
    </w:p>
    <w:p w14:paraId="74984D3E" w14:textId="77777777" w:rsidR="00B9168B" w:rsidRPr="00D71F93" w:rsidRDefault="00B9168B" w:rsidP="00B9168B">
      <w:pPr>
        <w:pStyle w:val="enumlev1"/>
        <w:rPr>
          <w:szCs w:val="24"/>
        </w:rPr>
      </w:pPr>
      <w:r w:rsidRPr="0588217F">
        <w:t>–</w:t>
      </w:r>
      <w:r w:rsidRPr="00D71F93">
        <w:rPr>
          <w:szCs w:val="24"/>
        </w:rPr>
        <w:tab/>
      </w:r>
      <w:r w:rsidRPr="0588217F">
        <w:t>changes to the propagation models or the correction factor would require significant evaluation.</w:t>
      </w:r>
    </w:p>
    <w:p w14:paraId="11D83CD6" w14:textId="77777777" w:rsidR="00B9168B" w:rsidRPr="00D71F93" w:rsidRDefault="00067C55" w:rsidP="00B9168B">
      <w:hyperlink r:id="rId13" w:history="1">
        <w:r w:rsidR="00B9168B" w:rsidRPr="00067C55">
          <w:rPr>
            <w:rStyle w:val="Hyperlink"/>
            <w:color w:val="auto"/>
            <w:u w:val="none"/>
          </w:rPr>
          <w:t>Recommendation ITU-R SM.1448</w:t>
        </w:r>
      </w:hyperlink>
      <w:r w:rsidR="00B9168B">
        <w:t xml:space="preserve"> is a Recommendation that primarily affects the work of other Study Groups. Hence in any revision to the Recommendation, Study Group 1 (SG 1) would be advised to consult the views of the other Study Groups. </w:t>
      </w:r>
    </w:p>
    <w:p w14:paraId="2FA29437" w14:textId="77777777" w:rsidR="00B9168B" w:rsidRPr="00D71F93" w:rsidRDefault="00B9168B" w:rsidP="00B9168B">
      <w:r w:rsidRPr="00D41033">
        <w:lastRenderedPageBreak/>
        <w:t xml:space="preserve">The </w:t>
      </w:r>
      <w:r w:rsidR="005A20FE" w:rsidRPr="00D41033">
        <w:t>Supplement</w:t>
      </w:r>
      <w:r w:rsidRPr="00D41033">
        <w:t xml:space="preserve"> provides the necessary</w:t>
      </w:r>
      <w:r>
        <w:t xml:space="preserve"> detailed background to assist in any activity to update the Recommendation ITU-R SM.1448 given its linkage with Appendix </w:t>
      </w:r>
      <w:r w:rsidRPr="0588217F">
        <w:rPr>
          <w:b/>
          <w:bCs/>
        </w:rPr>
        <w:t>7</w:t>
      </w:r>
      <w:r>
        <w:t xml:space="preserve"> and Resolution </w:t>
      </w:r>
      <w:r w:rsidRPr="0588217F">
        <w:rPr>
          <w:b/>
          <w:bCs/>
        </w:rPr>
        <w:t>74</w:t>
      </w:r>
      <w:r>
        <w:t xml:space="preserve"> (</w:t>
      </w:r>
      <w:r w:rsidRPr="0588217F">
        <w:rPr>
          <w:b/>
          <w:bCs/>
        </w:rPr>
        <w:t>Rev.WRC-03</w:t>
      </w:r>
      <w:r>
        <w:t xml:space="preserve">) </w:t>
      </w:r>
      <w:r w:rsidRPr="0588217F">
        <w:rPr>
          <w:i/>
          <w:iCs/>
        </w:rPr>
        <w:t>Process to keep the technical bases of Appendix 7 current</w:t>
      </w:r>
      <w:r>
        <w:t>.</w:t>
      </w:r>
    </w:p>
    <w:p w14:paraId="0B1CDDD9" w14:textId="5543C0D1" w:rsidR="00B9168B" w:rsidRPr="00D71F93" w:rsidRDefault="00B9168B" w:rsidP="00B9168B">
      <w:pPr>
        <w:pStyle w:val="Heading1"/>
      </w:pPr>
      <w:bookmarkStart w:id="10" w:name="_Toc514255659"/>
      <w:bookmarkStart w:id="11" w:name="_Toc514259766"/>
      <w:r w:rsidRPr="00D71F93">
        <w:t>2</w:t>
      </w:r>
      <w:r w:rsidRPr="00D71F93">
        <w:tab/>
        <w:t xml:space="preserve">Background to the development of Recommendation </w:t>
      </w:r>
      <w:hyperlink r:id="rId14" w:history="1">
        <w:bookmarkEnd w:id="10"/>
        <w:bookmarkEnd w:id="11"/>
        <w:r w:rsidR="00067C55">
          <w:rPr>
            <w:rStyle w:val="Hyperlink"/>
            <w:color w:val="auto"/>
            <w:u w:val="none"/>
          </w:rPr>
          <w:t>ITU-R SM.1448</w:t>
        </w:r>
      </w:hyperlink>
    </w:p>
    <w:p w14:paraId="6D777577" w14:textId="77777777" w:rsidR="00B9168B" w:rsidRPr="00D71F93" w:rsidRDefault="00B9168B" w:rsidP="00B9168B">
      <w:pPr>
        <w:pStyle w:val="Heading2"/>
      </w:pPr>
      <w:bookmarkStart w:id="12" w:name="_Toc514255660"/>
      <w:bookmarkStart w:id="13" w:name="_Toc514259767"/>
      <w:r w:rsidRPr="00D71F93">
        <w:t>2.1</w:t>
      </w:r>
      <w:r w:rsidRPr="00D71F93">
        <w:tab/>
        <w:t>Overview</w:t>
      </w:r>
      <w:bookmarkEnd w:id="12"/>
      <w:bookmarkEnd w:id="13"/>
      <w:r w:rsidRPr="00D71F93">
        <w:t xml:space="preserve"> </w:t>
      </w:r>
    </w:p>
    <w:p w14:paraId="1AE259CF" w14:textId="77777777" w:rsidR="00B9168B" w:rsidRPr="00D71F93" w:rsidRDefault="00B9168B" w:rsidP="00B9168B">
      <w:r w:rsidRPr="00D71F93">
        <w:t xml:space="preserve">WRC-95 initiated a review of Radio Regulations Appendix </w:t>
      </w:r>
      <w:r w:rsidRPr="0588217F">
        <w:rPr>
          <w:b/>
          <w:bCs/>
        </w:rPr>
        <w:t>28 (S7)</w:t>
      </w:r>
      <w:r w:rsidRPr="0588217F">
        <w:rPr>
          <w:rStyle w:val="FootnoteReference"/>
        </w:rPr>
        <w:t xml:space="preserve"> </w:t>
      </w:r>
      <w:r w:rsidRPr="0588217F">
        <w:rPr>
          <w:rStyle w:val="FootnoteReference"/>
        </w:rPr>
        <w:footnoteReference w:id="1"/>
      </w:r>
      <w:r w:rsidRPr="0588217F">
        <w:t>,</w:t>
      </w:r>
      <w:r w:rsidRPr="00D71F93">
        <w:t xml:space="preserve"> </w:t>
      </w:r>
      <w:r w:rsidRPr="0588217F">
        <w:rPr>
          <w:rStyle w:val="FootnoteReference"/>
        </w:rPr>
        <w:footnoteReference w:id="2"/>
      </w:r>
      <w:r w:rsidRPr="00D71F93">
        <w:t xml:space="preserve"> Method for the Determination of the Coordination Area Around an Earth Station in Frequency Bands Between 1 GHz and 40 GHz Shared Between Space and Terrestrial Radiocommunication Services, taking into account Resolution</w:t>
      </w:r>
      <w:r w:rsidRPr="0588217F">
        <w:rPr>
          <w:rStyle w:val="FootnoteReference"/>
        </w:rPr>
        <w:footnoteReference w:id="3"/>
      </w:r>
      <w:r w:rsidRPr="00D71F93">
        <w:t xml:space="preserve"> </w:t>
      </w:r>
      <w:r w:rsidRPr="0588217F">
        <w:rPr>
          <w:b/>
          <w:bCs/>
        </w:rPr>
        <w:t>60</w:t>
      </w:r>
      <w:r w:rsidRPr="00D71F93">
        <w:t xml:space="preserve">, Resolution </w:t>
      </w:r>
      <w:r w:rsidRPr="0588217F">
        <w:rPr>
          <w:b/>
          <w:bCs/>
        </w:rPr>
        <w:t>712 (Rev.WRC-95)</w:t>
      </w:r>
      <w:r w:rsidRPr="00D71F93">
        <w:t xml:space="preserve"> and Recommendation </w:t>
      </w:r>
      <w:r w:rsidRPr="0588217F">
        <w:rPr>
          <w:b/>
          <w:bCs/>
        </w:rPr>
        <w:t>711 (WARC</w:t>
      </w:r>
      <w:r w:rsidRPr="00D71F93">
        <w:rPr>
          <w:b/>
        </w:rPr>
        <w:noBreakHyphen/>
      </w:r>
      <w:r w:rsidRPr="0588217F">
        <w:rPr>
          <w:b/>
          <w:bCs/>
        </w:rPr>
        <w:t>79)</w:t>
      </w:r>
      <w:r w:rsidRPr="00D71F93">
        <w:t>.</w:t>
      </w:r>
    </w:p>
    <w:p w14:paraId="789C0C2C" w14:textId="77777777" w:rsidR="00B9168B" w:rsidRPr="00AC4185" w:rsidRDefault="00B9168B" w:rsidP="00B9168B">
      <w:pPr>
        <w:rPr>
          <w:spacing w:val="-2"/>
        </w:rPr>
      </w:pPr>
      <w:r w:rsidRPr="00AC4185">
        <w:rPr>
          <w:spacing w:val="-2"/>
        </w:rPr>
        <w:t>The review took two WRC cycles to complete</w:t>
      </w:r>
      <w:r w:rsidRPr="0588217F">
        <w:rPr>
          <w:rStyle w:val="FootnoteReference"/>
          <w:spacing w:val="-2"/>
        </w:rPr>
        <w:footnoteReference w:id="4"/>
      </w:r>
      <w:r w:rsidRPr="00AC4185">
        <w:rPr>
          <w:spacing w:val="-2"/>
        </w:rPr>
        <w:t xml:space="preserve"> and resulted in the development of Recommendation</w:t>
      </w:r>
      <w:r w:rsidRPr="0588217F">
        <w:rPr>
          <w:rStyle w:val="FootnoteReference"/>
          <w:color w:val="000000" w:themeColor="text1"/>
          <w:spacing w:val="-2"/>
          <w:u w:val="single"/>
        </w:rPr>
        <w:footnoteReference w:id="5"/>
      </w:r>
      <w:r w:rsidRPr="00AC4185">
        <w:rPr>
          <w:spacing w:val="-2"/>
        </w:rPr>
        <w:t xml:space="preserve"> ITU-R </w:t>
      </w:r>
      <w:r w:rsidR="00C021AC" w:rsidRPr="00D41033">
        <w:t>SM.1448</w:t>
      </w:r>
      <w:r w:rsidRPr="00AC4185">
        <w:rPr>
          <w:spacing w:val="-2"/>
        </w:rPr>
        <w:t xml:space="preserve"> by ITU-R Task Group 1/6 (see Attachment 1) and its use as the source text for the revision</w:t>
      </w:r>
      <w:r w:rsidRPr="0588217F">
        <w:rPr>
          <w:rStyle w:val="FootnoteReference"/>
          <w:spacing w:val="-2"/>
        </w:rPr>
        <w:footnoteReference w:id="6"/>
      </w:r>
      <w:r w:rsidRPr="00AC4185">
        <w:rPr>
          <w:spacing w:val="-2"/>
          <w:vertAlign w:val="superscript"/>
        </w:rPr>
        <w:t xml:space="preserve">, </w:t>
      </w:r>
      <w:r w:rsidRPr="0588217F">
        <w:rPr>
          <w:rStyle w:val="FootnoteReference"/>
          <w:spacing w:val="-2"/>
        </w:rPr>
        <w:footnoteReference w:id="7"/>
      </w:r>
      <w:r w:rsidRPr="00AC4185">
        <w:rPr>
          <w:spacing w:val="-2"/>
          <w:vertAlign w:val="superscript"/>
        </w:rPr>
        <w:t xml:space="preserve">, </w:t>
      </w:r>
      <w:r w:rsidRPr="0588217F">
        <w:rPr>
          <w:rStyle w:val="FootnoteReference"/>
          <w:spacing w:val="-2"/>
        </w:rPr>
        <w:footnoteReference w:id="8"/>
      </w:r>
      <w:r w:rsidRPr="00AC4185">
        <w:rPr>
          <w:spacing w:val="-2"/>
        </w:rPr>
        <w:t xml:space="preserve"> of Appendix S</w:t>
      </w:r>
      <w:r w:rsidRPr="0588217F">
        <w:rPr>
          <w:b/>
          <w:bCs/>
          <w:spacing w:val="-2"/>
        </w:rPr>
        <w:t xml:space="preserve">7 </w:t>
      </w:r>
      <w:r w:rsidRPr="00AC4185">
        <w:rPr>
          <w:spacing w:val="-2"/>
        </w:rPr>
        <w:t>of the Radio Regulations at WRC-2000</w:t>
      </w:r>
      <w:r w:rsidRPr="0588217F">
        <w:rPr>
          <w:rStyle w:val="FootnoteReference"/>
          <w:spacing w:val="-2"/>
        </w:rPr>
        <w:footnoteReference w:id="9"/>
      </w:r>
      <w:r w:rsidRPr="0588217F">
        <w:t xml:space="preserve">. </w:t>
      </w:r>
      <w:r w:rsidRPr="00AC4185">
        <w:rPr>
          <w:spacing w:val="-2"/>
        </w:rPr>
        <w:t xml:space="preserve">Appendix </w:t>
      </w:r>
      <w:r w:rsidRPr="0588217F">
        <w:rPr>
          <w:b/>
          <w:bCs/>
          <w:spacing w:val="-2"/>
        </w:rPr>
        <w:t>7</w:t>
      </w:r>
      <w:r w:rsidRPr="0588217F">
        <w:t>:</w:t>
      </w:r>
    </w:p>
    <w:p w14:paraId="158BFA1C" w14:textId="1BBD1A07" w:rsidR="00B9168B" w:rsidRPr="00D71F93" w:rsidRDefault="00B9168B" w:rsidP="00B9168B">
      <w:pPr>
        <w:pStyle w:val="enumlev1"/>
      </w:pPr>
      <w:r w:rsidRPr="00D71F93">
        <w:t>–</w:t>
      </w:r>
      <w:r w:rsidRPr="00D71F93">
        <w:tab/>
        <w:t xml:space="preserve">specifies the means of determining the need to coordinate between an earth station and terrestrial station, or two earth stations, in various radiocommunication services, sharing </w:t>
      </w:r>
      <w:r w:rsidRPr="00D71F93">
        <w:lastRenderedPageBreak/>
        <w:t>the same frequency band, in which geographical separation on the Earth's surface is the means by which acceptable frequenc</w:t>
      </w:r>
      <w:r w:rsidR="00067C55">
        <w:t>y sharing is accomplished; and</w:t>
      </w:r>
    </w:p>
    <w:p w14:paraId="3606BD0B" w14:textId="77777777" w:rsidR="00B9168B" w:rsidRPr="00D71F93" w:rsidRDefault="00B9168B" w:rsidP="00B9168B">
      <w:pPr>
        <w:pStyle w:val="enumlev1"/>
      </w:pPr>
      <w:r w:rsidRPr="0588217F">
        <w:t>–</w:t>
      </w:r>
      <w:r w:rsidRPr="00D71F93">
        <w:rPr>
          <w:szCs w:val="24"/>
        </w:rPr>
        <w:tab/>
      </w:r>
      <w:r w:rsidRPr="0588217F">
        <w:t xml:space="preserve">provides the means to </w:t>
      </w:r>
      <w:r w:rsidRPr="00D71F93">
        <w:t>evaluate the coordination area around a satellite earth station, rather than the tool with which to carry out that coordination process itself, where the coordination area is a result of assumptions taken about the propagation processes and the characteristics of the systems involved leading to acceptable risk of interference while avoiding unnecessary detailed coordination (noting the distinction between the determination of the area within which coordination is required and the actual detailed coordination).</w:t>
      </w:r>
    </w:p>
    <w:p w14:paraId="3B8F23AA" w14:textId="1D7012DF" w:rsidR="00B9168B" w:rsidRPr="00D71F93" w:rsidRDefault="00B9168B" w:rsidP="00D41033">
      <w:pPr>
        <w:rPr>
          <w:szCs w:val="24"/>
        </w:rPr>
      </w:pPr>
      <w:r w:rsidRPr="00D41033">
        <w:t xml:space="preserve">Recommendation ITU-R </w:t>
      </w:r>
      <w:r w:rsidR="00C021AC" w:rsidRPr="00D41033">
        <w:t>SM.1448</w:t>
      </w:r>
      <w:r w:rsidR="00D41033">
        <w:t>-0</w:t>
      </w:r>
      <w:r w:rsidR="00D41033">
        <w:rPr>
          <w:rStyle w:val="Hyperlink"/>
        </w:rPr>
        <w:t xml:space="preserve"> </w:t>
      </w:r>
      <w:r w:rsidRPr="00D41033">
        <w:t xml:space="preserve">merged three IS series recommendations originally developed by </w:t>
      </w:r>
      <w:r w:rsidR="00B734C5" w:rsidRPr="00D41033">
        <w:t xml:space="preserve">former </w:t>
      </w:r>
      <w:r w:rsidRPr="00D41033">
        <w:t>ITU-R Study Group 12 and Recommendation ITU-R P.620-4. The latter Recommendation</w:t>
      </w:r>
      <w:r>
        <w:t xml:space="preserve"> also comprised several ITU-R Study Group 3 (SG 3) propagation recommendations (see § 2.3). The creation of a single Recommendation (see § 2.3 </w:t>
      </w:r>
      <w:r w:rsidR="00067C55">
        <w:t xml:space="preserve">and </w:t>
      </w:r>
      <w:r>
        <w:t>§ 2.4) was complicated by the:</w:t>
      </w:r>
    </w:p>
    <w:p w14:paraId="7D581456" w14:textId="77777777" w:rsidR="00B9168B" w:rsidRPr="00D71F93" w:rsidRDefault="00B9168B" w:rsidP="00B9168B">
      <w:pPr>
        <w:pStyle w:val="enumlev1"/>
      </w:pPr>
      <w:r w:rsidRPr="00D71F93">
        <w:t>–</w:t>
      </w:r>
      <w:r w:rsidRPr="00D71F93">
        <w:tab/>
        <w:t>number of recommendations to be included and aligned within the final text;</w:t>
      </w:r>
    </w:p>
    <w:p w14:paraId="37111071" w14:textId="77777777" w:rsidR="00B9168B" w:rsidRPr="00D71F93" w:rsidRDefault="00B9168B" w:rsidP="00B9168B">
      <w:pPr>
        <w:pStyle w:val="enumlev1"/>
      </w:pPr>
      <w:r w:rsidRPr="00D71F93">
        <w:t>–</w:t>
      </w:r>
      <w:r w:rsidRPr="00D71F93">
        <w:tab/>
        <w:t>the degree of revision to some elements of the component recommendations;</w:t>
      </w:r>
    </w:p>
    <w:p w14:paraId="24B099CA" w14:textId="77777777" w:rsidR="00B9168B" w:rsidRPr="00D71F93" w:rsidRDefault="00B9168B" w:rsidP="00B9168B">
      <w:pPr>
        <w:pStyle w:val="enumlev1"/>
      </w:pPr>
      <w:r w:rsidRPr="00D71F93">
        <w:t>–</w:t>
      </w:r>
      <w:r w:rsidRPr="00D71F93">
        <w:tab/>
        <w:t>the extended frequency range and the number of different propagation models;</w:t>
      </w:r>
    </w:p>
    <w:p w14:paraId="2608B2F3" w14:textId="491C6E71" w:rsidR="00B9168B" w:rsidRPr="00D71F93" w:rsidRDefault="00B9168B" w:rsidP="00B9168B">
      <w:pPr>
        <w:pStyle w:val="enumlev1"/>
      </w:pPr>
      <w:r w:rsidRPr="00D71F93">
        <w:t>–</w:t>
      </w:r>
      <w:r w:rsidRPr="00D71F93">
        <w:tab/>
        <w:t xml:space="preserve">the inclusion of new methods </w:t>
      </w:r>
      <w:r w:rsidR="00067C55">
        <w:t>and concepts (e.g.</w:t>
      </w:r>
      <w:r w:rsidRPr="00D71F93">
        <w:t xml:space="preserve"> auxiliary contours for propagation mode 2, bidirectional cases where one or both earth stations are operating to satellites in non-geostationary orbits, new sharing combinations of NGSO and terrestrial systems, correction factor); and,</w:t>
      </w:r>
    </w:p>
    <w:p w14:paraId="36C5E294" w14:textId="77777777" w:rsidR="00B9168B" w:rsidRPr="00D71F93" w:rsidRDefault="00B9168B" w:rsidP="00B9168B">
      <w:pPr>
        <w:pStyle w:val="enumlev1"/>
      </w:pPr>
      <w:r w:rsidRPr="00D71F93">
        <w:t>–</w:t>
      </w:r>
      <w:r w:rsidRPr="00D71F93">
        <w:tab/>
        <w:t xml:space="preserve">the overriding requirement that the resulting recommendation had to be suitable for providing text to revise Appendix </w:t>
      </w:r>
      <w:r w:rsidRPr="0588217F">
        <w:rPr>
          <w:b/>
          <w:bCs/>
        </w:rPr>
        <w:t>7</w:t>
      </w:r>
      <w:r w:rsidRPr="00D71F93">
        <w:t>.</w:t>
      </w:r>
    </w:p>
    <w:p w14:paraId="60921A7C" w14:textId="77777777" w:rsidR="00B9168B" w:rsidRPr="00D71F93" w:rsidRDefault="00B9168B" w:rsidP="00B9168B">
      <w:pPr>
        <w:rPr>
          <w:i/>
          <w:iCs/>
        </w:rPr>
      </w:pPr>
      <w:r>
        <w:t>The last bullet point required the new text and component recommendations to be fully integrated to assist comprehension rather than simply collated. The extent of the integration itself imposed constraints on the future revision of the new recommendation and consequently the new Appendix </w:t>
      </w:r>
      <w:r w:rsidRPr="0588217F">
        <w:rPr>
          <w:b/>
          <w:bCs/>
        </w:rPr>
        <w:t>7</w:t>
      </w:r>
      <w:r>
        <w:t>. The latter point was noted by WRC</w:t>
      </w:r>
      <w:r w:rsidR="00EA567C">
        <w:t>-</w:t>
      </w:r>
      <w:r>
        <w:t xml:space="preserve">2000, in that the new calculation methods had a greater degree of integration with the propagation models and it was less straightforward to adopt new propagation material without checking for consequential changes that might be necessary elsewhere in the text. The Conference agreed that Resolution 60 (WARC-79) was no longer suitable for updating the propagation mechanism within Appendix </w:t>
      </w:r>
      <w:r w:rsidRPr="0588217F">
        <w:rPr>
          <w:b/>
          <w:bCs/>
        </w:rPr>
        <w:t>7</w:t>
      </w:r>
      <w:r>
        <w:t xml:space="preserve"> and suppressed it.</w:t>
      </w:r>
      <w:r w:rsidRPr="0588217F">
        <w:rPr>
          <w:i/>
          <w:iCs/>
        </w:rPr>
        <w:t xml:space="preserve"> </w:t>
      </w:r>
    </w:p>
    <w:p w14:paraId="600EF544" w14:textId="77777777" w:rsidR="00B9168B" w:rsidRPr="00D71F93" w:rsidRDefault="00B9168B" w:rsidP="00B9168B">
      <w:r w:rsidRPr="0588217F">
        <w:t>WRC-2000 agreed a new mechanism</w:t>
      </w:r>
      <w:r w:rsidRPr="0588217F">
        <w:rPr>
          <w:rStyle w:val="FootnoteReference"/>
        </w:rPr>
        <w:footnoteReference w:id="10"/>
      </w:r>
      <w:r w:rsidRPr="0588217F">
        <w:t xml:space="preserve"> for updating Appendix </w:t>
      </w:r>
      <w:r w:rsidRPr="0588217F">
        <w:rPr>
          <w:b/>
          <w:bCs/>
        </w:rPr>
        <w:t>7</w:t>
      </w:r>
      <w:r w:rsidRPr="0588217F">
        <w:t xml:space="preserve"> (Resolution </w:t>
      </w:r>
      <w:r w:rsidRPr="0588217F">
        <w:rPr>
          <w:b/>
          <w:bCs/>
        </w:rPr>
        <w:t>74</w:t>
      </w:r>
      <w:r w:rsidRPr="0588217F">
        <w:t xml:space="preserve"> (</w:t>
      </w:r>
      <w:r w:rsidRPr="0588217F">
        <w:rPr>
          <w:b/>
          <w:bCs/>
        </w:rPr>
        <w:t>Rev.WRC</w:t>
      </w:r>
      <w:r w:rsidRPr="0588217F">
        <w:rPr>
          <w:b/>
          <w:bCs/>
        </w:rPr>
        <w:noBreakHyphen/>
        <w:t>03</w:t>
      </w:r>
      <w:r w:rsidRPr="0588217F">
        <w:t xml:space="preserve">), </w:t>
      </w:r>
      <w:r w:rsidRPr="0588217F">
        <w:rPr>
          <w:i/>
          <w:iCs/>
        </w:rPr>
        <w:t>Process to keep the technical bases of Appendix 7 current</w:t>
      </w:r>
      <w:r w:rsidRPr="0588217F">
        <w:t xml:space="preserve">) that </w:t>
      </w:r>
      <w:r w:rsidRPr="00D71F93">
        <w:rPr>
          <w:color w:val="000000"/>
        </w:rPr>
        <w:t>recognised “</w:t>
      </w:r>
      <w:r w:rsidRPr="0588217F">
        <w:rPr>
          <w:i/>
          <w:iCs/>
          <w:color w:val="000000"/>
        </w:rPr>
        <w:t>Recommendation ITU</w:t>
      </w:r>
      <w:r w:rsidRPr="0588217F">
        <w:rPr>
          <w:i/>
          <w:iCs/>
          <w:color w:val="000000"/>
        </w:rPr>
        <w:noBreakHyphen/>
        <w:t>R SM.1448 was developed by the ITU</w:t>
      </w:r>
      <w:r w:rsidRPr="0588217F">
        <w:rPr>
          <w:i/>
          <w:iCs/>
          <w:color w:val="000000"/>
        </w:rPr>
        <w:noBreakHyphen/>
        <w:t>R as a basis for the revision of Appendix </w:t>
      </w:r>
      <w:r w:rsidRPr="0588217F">
        <w:rPr>
          <w:rStyle w:val="Appref"/>
          <w:b/>
          <w:bCs/>
          <w:i/>
          <w:iCs/>
          <w:color w:val="000000"/>
        </w:rPr>
        <w:t>7</w:t>
      </w:r>
      <w:r w:rsidRPr="0588217F">
        <w:rPr>
          <w:rStyle w:val="Appref"/>
          <w:b/>
          <w:bCs/>
          <w:color w:val="000000"/>
        </w:rPr>
        <w:t xml:space="preserve">” </w:t>
      </w:r>
      <w:r w:rsidRPr="00D71F93">
        <w:rPr>
          <w:rStyle w:val="Appref"/>
          <w:color w:val="000000"/>
        </w:rPr>
        <w:t xml:space="preserve">and specifically </w:t>
      </w:r>
      <w:r w:rsidRPr="00D71F93">
        <w:rPr>
          <w:color w:val="000000"/>
        </w:rPr>
        <w:t>invited the</w:t>
      </w:r>
      <w:r w:rsidRPr="0588217F">
        <w:rPr>
          <w:i/>
          <w:iCs/>
          <w:color w:val="000000"/>
        </w:rPr>
        <w:t xml:space="preserve"> </w:t>
      </w:r>
      <w:r w:rsidRPr="0588217F">
        <w:rPr>
          <w:color w:val="000000"/>
          <w:sz w:val="22"/>
          <w:szCs w:val="22"/>
        </w:rPr>
        <w:t>ITU</w:t>
      </w:r>
      <w:r w:rsidRPr="0588217F">
        <w:rPr>
          <w:color w:val="000000"/>
          <w:sz w:val="22"/>
          <w:szCs w:val="22"/>
        </w:rPr>
        <w:noBreakHyphen/>
        <w:t>R:</w:t>
      </w:r>
    </w:p>
    <w:p w14:paraId="38E412F6" w14:textId="77777777" w:rsidR="00B9168B" w:rsidRPr="00D71F93" w:rsidRDefault="00B9168B" w:rsidP="00B9168B">
      <w:pPr>
        <w:pStyle w:val="enumlev1"/>
        <w:rPr>
          <w:i/>
          <w:iCs/>
        </w:rPr>
      </w:pPr>
      <w:r w:rsidRPr="00D71F93">
        <w:rPr>
          <w:i/>
          <w:iCs/>
        </w:rPr>
        <w:tab/>
      </w:r>
      <w:r w:rsidRPr="0588217F">
        <w:rPr>
          <w:i/>
          <w:iCs/>
        </w:rPr>
        <w:t>“to continue its study, as required, of the technical bases used for determination of the coordination area of an earth station, including recommended values for the missing entries in the tables of technical coordination parameters</w:t>
      </w:r>
    </w:p>
    <w:p w14:paraId="20B8385E" w14:textId="77777777" w:rsidR="00B9168B" w:rsidRPr="00D71F93" w:rsidRDefault="00B9168B" w:rsidP="00B9168B">
      <w:pPr>
        <w:pStyle w:val="enumlev1"/>
        <w:rPr>
          <w:rStyle w:val="Appref"/>
          <w:i/>
          <w:iCs/>
        </w:rPr>
      </w:pPr>
      <w:r w:rsidRPr="00D71F93">
        <w:rPr>
          <w:i/>
          <w:iCs/>
        </w:rPr>
        <w:lastRenderedPageBreak/>
        <w:tab/>
      </w:r>
      <w:r w:rsidRPr="0588217F">
        <w:rPr>
          <w:i/>
          <w:iCs/>
        </w:rPr>
        <w:t>to maintain the relevant ITU-R texts in a format which would facilitate the future revision of Appendix </w:t>
      </w:r>
      <w:r w:rsidRPr="0588217F">
        <w:rPr>
          <w:rStyle w:val="Appref"/>
          <w:b/>
          <w:bCs/>
          <w:i/>
          <w:iCs/>
          <w:color w:val="000000"/>
        </w:rPr>
        <w:t>7</w:t>
      </w:r>
      <w:r w:rsidRPr="0588217F">
        <w:rPr>
          <w:rStyle w:val="Appref"/>
          <w:i/>
          <w:iCs/>
        </w:rPr>
        <w:t>;</w:t>
      </w:r>
    </w:p>
    <w:p w14:paraId="56572F2F" w14:textId="77777777" w:rsidR="00B9168B" w:rsidRPr="00D71F93" w:rsidRDefault="00B9168B" w:rsidP="00B9168B">
      <w:pPr>
        <w:pStyle w:val="enumlev1"/>
      </w:pPr>
      <w:r w:rsidRPr="00D71F93">
        <w:rPr>
          <w:i/>
          <w:iCs/>
        </w:rPr>
        <w:tab/>
      </w:r>
      <w:r w:rsidRPr="0588217F">
        <w:rPr>
          <w:i/>
          <w:iCs/>
        </w:rPr>
        <w:t>to assess the significance of changes to the technical bases.”</w:t>
      </w:r>
    </w:p>
    <w:p w14:paraId="69BA1163" w14:textId="77777777" w:rsidR="00B9168B" w:rsidRPr="00D71F93" w:rsidRDefault="00B9168B" w:rsidP="00B9168B">
      <w:pPr>
        <w:pStyle w:val="Heading2"/>
      </w:pPr>
      <w:bookmarkStart w:id="14" w:name="_Toc514255661"/>
      <w:bookmarkStart w:id="15" w:name="_Toc514259768"/>
      <w:r w:rsidRPr="00D71F93">
        <w:t>2.2</w:t>
      </w:r>
      <w:r w:rsidRPr="00D71F93">
        <w:tab/>
        <w:t xml:space="preserve">Relationship between </w:t>
      </w:r>
      <w:r w:rsidRPr="0588217F">
        <w:t xml:space="preserve">Recommendation ITU-R SM.1448 and </w:t>
      </w:r>
      <w:r w:rsidRPr="00D71F93">
        <w:t>Appendix 7 of the Radio Regulations</w:t>
      </w:r>
      <w:bookmarkEnd w:id="14"/>
      <w:bookmarkEnd w:id="15"/>
    </w:p>
    <w:p w14:paraId="2239F1B6" w14:textId="77777777" w:rsidR="00B9168B" w:rsidRPr="00D71F93" w:rsidRDefault="00B9168B" w:rsidP="00B9168B">
      <w:pPr>
        <w:rPr>
          <w:szCs w:val="24"/>
        </w:rPr>
      </w:pPr>
      <w:r>
        <w:t xml:space="preserve">Recommendation ITU-R SM.1448 contains a range of methods to assist administrations with the broader aspects of coordinating earth stations. It also includes methods for minimising the number of individual earth stations requiring detailed coordination and a number of examples. </w:t>
      </w:r>
    </w:p>
    <w:p w14:paraId="23FA986E" w14:textId="77777777" w:rsidR="00674D9A" w:rsidRDefault="00B9168B" w:rsidP="00B9168B">
      <w:r>
        <w:t xml:space="preserve">In contrast Appendix </w:t>
      </w:r>
      <w:r w:rsidRPr="0588217F">
        <w:rPr>
          <w:b/>
          <w:bCs/>
        </w:rPr>
        <w:t>7</w:t>
      </w:r>
      <w:r>
        <w:t xml:space="preserve"> primarily contains </w:t>
      </w:r>
      <w:r w:rsidRPr="0588217F">
        <w:rPr>
          <w:b/>
          <w:bCs/>
        </w:rPr>
        <w:t xml:space="preserve">the essential regulatory content </w:t>
      </w:r>
      <w:r>
        <w:t xml:space="preserve">of the recommendation that corresponds to Article </w:t>
      </w:r>
      <w:r w:rsidRPr="0588217F">
        <w:rPr>
          <w:b/>
          <w:bCs/>
        </w:rPr>
        <w:t>11</w:t>
      </w:r>
      <w:r>
        <w:t xml:space="preserve"> procedures, this results in reduced text within the Radio Regulations, and the avoidance of inconsistencies between other regulatory provisions and the more generalised text of the recommendation.  </w:t>
      </w:r>
      <w:r w:rsidR="00674D9A">
        <w:t>To</w:t>
      </w:r>
      <w:r>
        <w:t xml:space="preserve"> determin</w:t>
      </w:r>
      <w:r w:rsidR="00674D9A">
        <w:t>e</w:t>
      </w:r>
      <w:r>
        <w:t xml:space="preserve"> the coordination contour</w:t>
      </w:r>
      <w:r w:rsidR="00674D9A">
        <w:t>s,</w:t>
      </w:r>
      <w:r>
        <w:t xml:space="preserve"> Appendix </w:t>
      </w:r>
      <w:r w:rsidRPr="0588217F">
        <w:rPr>
          <w:b/>
          <w:bCs/>
        </w:rPr>
        <w:t>7</w:t>
      </w:r>
      <w:r>
        <w:t xml:space="preserve"> only has a single method for an earth station operating </w:t>
      </w:r>
      <w:r w:rsidR="00674D9A">
        <w:t>with:</w:t>
      </w:r>
    </w:p>
    <w:p w14:paraId="5FB6681C" w14:textId="77777777" w:rsidR="00674D9A" w:rsidRDefault="002B3137" w:rsidP="00D41033">
      <w:pPr>
        <w:pStyle w:val="enumlev1"/>
      </w:pPr>
      <w:r>
        <w:t>•</w:t>
      </w:r>
      <w:r>
        <w:tab/>
      </w:r>
      <w:r w:rsidR="00B9168B">
        <w:t>a geostationary space station</w:t>
      </w:r>
      <w:r w:rsidR="00674D9A">
        <w:t>;</w:t>
      </w:r>
      <w:r w:rsidR="00B9168B">
        <w:t xml:space="preserve"> and</w:t>
      </w:r>
      <w:r w:rsidR="00674D9A">
        <w:t>;</w:t>
      </w:r>
      <w:r w:rsidR="00B9168B">
        <w:t xml:space="preserve"> </w:t>
      </w:r>
    </w:p>
    <w:p w14:paraId="73C4E431" w14:textId="77777777" w:rsidR="00B9168B" w:rsidRPr="00D71F93" w:rsidRDefault="002B3137" w:rsidP="00D41033">
      <w:pPr>
        <w:pStyle w:val="enumlev1"/>
        <w:rPr>
          <w:b/>
          <w:bCs/>
        </w:rPr>
      </w:pPr>
      <w:r>
        <w:t>•</w:t>
      </w:r>
      <w:r>
        <w:tab/>
      </w:r>
      <w:r w:rsidR="00B9168B">
        <w:t xml:space="preserve">a non-geostationary space station (Time Invariant Gain - TIG). </w:t>
      </w:r>
    </w:p>
    <w:p w14:paraId="63732CD3" w14:textId="77777777" w:rsidR="00B9168B" w:rsidRPr="00D71F93" w:rsidRDefault="00B9168B" w:rsidP="00B9168B">
      <w:pPr>
        <w:rPr>
          <w:szCs w:val="24"/>
        </w:rPr>
      </w:pPr>
      <w:r>
        <w:t xml:space="preserve">However, text on supplementary and auxiliary contours was retained in Annex 6 to Appendix </w:t>
      </w:r>
      <w:r w:rsidRPr="0588217F">
        <w:rPr>
          <w:b/>
          <w:bCs/>
        </w:rPr>
        <w:t>7</w:t>
      </w:r>
      <w:r>
        <w:t xml:space="preserve"> to “</w:t>
      </w:r>
      <w:r w:rsidRPr="0588217F">
        <w:rPr>
          <w:i/>
          <w:iCs/>
        </w:rPr>
        <w:t>assist administrations in bilateral discussions”</w:t>
      </w:r>
      <w:r w:rsidR="00674D9A">
        <w:rPr>
          <w:i/>
          <w:iCs/>
        </w:rPr>
        <w:t>.</w:t>
      </w:r>
      <w:r>
        <w:t xml:space="preserve"> </w:t>
      </w:r>
      <w:r w:rsidR="00674D9A">
        <w:t>R</w:t>
      </w:r>
      <w:r>
        <w:t>eferences to Recommendation ITU-R SM.1448 were included in the main text and footnotes, as the source of examples and additional methods that administrations may wish to use to develop bilateral agreements “</w:t>
      </w:r>
      <w:r w:rsidRPr="0588217F">
        <w:rPr>
          <w:i/>
          <w:iCs/>
        </w:rPr>
        <w:t>to minimize the number of individual earth stations requiring detailed coordination</w:t>
      </w:r>
      <w:r>
        <w:t>”. Elements of an alternative method for calculating the interference of an earth station operating to NGSO satellites, the Time Variant Gain (TVG) method,</w:t>
      </w:r>
      <w:r w:rsidRPr="0588217F">
        <w:rPr>
          <w:i/>
          <w:iCs/>
        </w:rPr>
        <w:t xml:space="preserve"> </w:t>
      </w:r>
      <w:r>
        <w:t>were also included in the annex on supplementary and auxiliary contours.</w:t>
      </w:r>
      <w:r w:rsidRPr="0588217F">
        <w:rPr>
          <w:i/>
          <w:iCs/>
        </w:rPr>
        <w:t xml:space="preserve"> </w:t>
      </w:r>
    </w:p>
    <w:p w14:paraId="548B92C3" w14:textId="77777777" w:rsidR="00B9168B" w:rsidRPr="00D71F93" w:rsidRDefault="00B9168B" w:rsidP="00B9168B">
      <w:r>
        <w:t xml:space="preserve">The differences between Recommendation ITU-R SM.1448-0 and Appendix </w:t>
      </w:r>
      <w:r w:rsidRPr="0588217F">
        <w:rPr>
          <w:b/>
          <w:bCs/>
        </w:rPr>
        <w:t>7</w:t>
      </w:r>
      <w:r>
        <w:t xml:space="preserve"> of the Radio Regulations include text omitted, relocated and modified. </w:t>
      </w:r>
    </w:p>
    <w:p w14:paraId="098A2334" w14:textId="77777777" w:rsidR="00B9168B" w:rsidRPr="00D71F93" w:rsidRDefault="00B9168B" w:rsidP="00B9168B">
      <w:pPr>
        <w:rPr>
          <w:szCs w:val="24"/>
        </w:rPr>
      </w:pPr>
      <w:r>
        <w:t xml:space="preserve">The sections of Recommendation ITU-R SM.1448-0 omitted from Appendix </w:t>
      </w:r>
      <w:r w:rsidRPr="0588217F">
        <w:rPr>
          <w:b/>
          <w:bCs/>
        </w:rPr>
        <w:t>7</w:t>
      </w:r>
      <w:r>
        <w:t xml:space="preserve"> were:</w:t>
      </w:r>
    </w:p>
    <w:p w14:paraId="137525A2" w14:textId="77777777" w:rsidR="00B9168B" w:rsidRPr="00D71F93" w:rsidRDefault="00B9168B" w:rsidP="00B9168B">
      <w:pPr>
        <w:pStyle w:val="enumlev1"/>
        <w:rPr>
          <w:szCs w:val="24"/>
        </w:rPr>
      </w:pPr>
      <w:r w:rsidRPr="00D71F93">
        <w:t>–</w:t>
      </w:r>
      <w:r w:rsidRPr="00D71F93">
        <w:tab/>
        <w:t>the diagrammatic representation of document structure;</w:t>
      </w:r>
      <w:r w:rsidRPr="0588217F">
        <w:t xml:space="preserve"> </w:t>
      </w:r>
    </w:p>
    <w:p w14:paraId="103183FB" w14:textId="77777777" w:rsidR="00B9168B" w:rsidRPr="00D71F93" w:rsidRDefault="00B9168B" w:rsidP="00B9168B">
      <w:pPr>
        <w:pStyle w:val="enumlev1"/>
        <w:rPr>
          <w:szCs w:val="24"/>
        </w:rPr>
      </w:pPr>
      <w:r w:rsidRPr="0588217F">
        <w:t>–</w:t>
      </w:r>
      <w:r w:rsidRPr="00D71F93">
        <w:rPr>
          <w:szCs w:val="24"/>
        </w:rPr>
        <w:tab/>
      </w:r>
      <w:r w:rsidRPr="0588217F">
        <w:t>the sharing scenarios for:</w:t>
      </w:r>
    </w:p>
    <w:p w14:paraId="56A0FCA3" w14:textId="77777777" w:rsidR="00B9168B" w:rsidRPr="00D71F93" w:rsidRDefault="00B9168B" w:rsidP="00B9168B">
      <w:pPr>
        <w:pStyle w:val="enumlev2"/>
        <w:rPr>
          <w:szCs w:val="24"/>
        </w:rPr>
      </w:pPr>
      <w:r w:rsidRPr="0588217F">
        <w:t>•</w:t>
      </w:r>
      <w:r w:rsidRPr="00D71F93">
        <w:rPr>
          <w:szCs w:val="24"/>
        </w:rPr>
        <w:tab/>
      </w:r>
      <w:r w:rsidRPr="0588217F">
        <w:t xml:space="preserve">§ 1.4.8 </w:t>
      </w:r>
      <w:bookmarkStart w:id="16" w:name="_Toc431176123"/>
      <w:bookmarkStart w:id="17" w:name="_Toc431176896"/>
      <w:bookmarkStart w:id="18" w:name="_Toc431184133"/>
      <w:r w:rsidRPr="00D71F93">
        <w:t>Transportable earth stations</w:t>
      </w:r>
      <w:bookmarkEnd w:id="16"/>
      <w:bookmarkEnd w:id="17"/>
      <w:bookmarkEnd w:id="18"/>
      <w:r w:rsidRPr="00D71F93">
        <w:t>;</w:t>
      </w:r>
    </w:p>
    <w:p w14:paraId="7908EBDA" w14:textId="77777777" w:rsidR="00B9168B" w:rsidRPr="00D71F93" w:rsidRDefault="00B9168B" w:rsidP="00B9168B">
      <w:pPr>
        <w:pStyle w:val="enumlev2"/>
        <w:rPr>
          <w:szCs w:val="24"/>
        </w:rPr>
      </w:pPr>
      <w:r w:rsidRPr="0588217F">
        <w:t>•</w:t>
      </w:r>
      <w:r w:rsidRPr="00D71F93">
        <w:rPr>
          <w:szCs w:val="24"/>
        </w:rPr>
        <w:tab/>
      </w:r>
      <w:r w:rsidRPr="0588217F">
        <w:t xml:space="preserve">§ 1.4.9 </w:t>
      </w:r>
      <w:r w:rsidRPr="00D71F93">
        <w:t>Fixed earth stations operated at unspecified locations within a specific service area;</w:t>
      </w:r>
    </w:p>
    <w:p w14:paraId="664D06F3" w14:textId="77777777" w:rsidR="00B9168B" w:rsidRPr="00D71F93" w:rsidRDefault="00B9168B" w:rsidP="00B9168B">
      <w:pPr>
        <w:pStyle w:val="enumlev1"/>
      </w:pPr>
      <w:r w:rsidRPr="00D71F93">
        <w:t>–</w:t>
      </w:r>
      <w:r w:rsidRPr="00D71F93">
        <w:tab/>
        <w:t>example calculations;</w:t>
      </w:r>
    </w:p>
    <w:p w14:paraId="341082C0" w14:textId="77777777" w:rsidR="00B9168B" w:rsidRPr="00D71F93" w:rsidRDefault="00B9168B" w:rsidP="00B9168B">
      <w:pPr>
        <w:pStyle w:val="enumlev1"/>
      </w:pPr>
      <w:r w:rsidRPr="00D71F93">
        <w:t>–</w:t>
      </w:r>
      <w:r w:rsidRPr="00D71F93">
        <w:tab/>
        <w:t>the TVG method’s equations for use in determining the locations of NGSO satellites – only the TIG method is retained for determination of the coordination contour; and,</w:t>
      </w:r>
    </w:p>
    <w:p w14:paraId="7874DDDB" w14:textId="77777777" w:rsidR="00B9168B" w:rsidRPr="00D71F93" w:rsidRDefault="00B9168B" w:rsidP="00B9168B">
      <w:pPr>
        <w:pStyle w:val="enumlev1"/>
      </w:pPr>
      <w:r w:rsidRPr="00D71F93">
        <w:t>–</w:t>
      </w:r>
      <w:r w:rsidRPr="00D71F93">
        <w:tab/>
        <w:t>the annex of parameters and symbols used in the recommendation.</w:t>
      </w:r>
    </w:p>
    <w:p w14:paraId="36702028" w14:textId="285245D5" w:rsidR="00B9168B" w:rsidRPr="00D71F93" w:rsidRDefault="00B9168B" w:rsidP="00B9168B">
      <w:pPr>
        <w:rPr>
          <w:szCs w:val="24"/>
        </w:rPr>
      </w:pPr>
      <w:r>
        <w:t xml:space="preserve">The sections containing non-essential regulatory content in Recommendation ITU-R SM.1448-0 relocated in Appendix </w:t>
      </w:r>
      <w:r w:rsidRPr="0588217F">
        <w:rPr>
          <w:b/>
          <w:bCs/>
        </w:rPr>
        <w:t>7</w:t>
      </w:r>
      <w:r>
        <w:t xml:space="preserve"> were:</w:t>
      </w:r>
    </w:p>
    <w:p w14:paraId="068E7347" w14:textId="54C703F9" w:rsidR="00B9168B" w:rsidRPr="00D71F93" w:rsidRDefault="00B9168B" w:rsidP="00B9168B">
      <w:pPr>
        <w:pStyle w:val="enumlev1"/>
      </w:pPr>
      <w:r w:rsidRPr="00D71F93">
        <w:t>–</w:t>
      </w:r>
      <w:r w:rsidRPr="00D71F93">
        <w:tab/>
      </w:r>
      <w:r w:rsidR="00067C55">
        <w:t>the</w:t>
      </w:r>
      <w:r w:rsidR="00067C55" w:rsidRPr="00D71F93">
        <w:t xml:space="preserve"> </w:t>
      </w:r>
      <w:r w:rsidRPr="00D71F93">
        <w:t>general text on the TVG method for calculation of antenna gain for NGSO earth stations and elements of the annex containing the determination of the required distance using the TVG method - moved to the Annex on supplementary and auxiliary contours; and,</w:t>
      </w:r>
    </w:p>
    <w:p w14:paraId="21E92EFB" w14:textId="59FF74A0" w:rsidR="00B9168B" w:rsidRPr="00D71F93" w:rsidRDefault="00B9168B" w:rsidP="00B9168B">
      <w:pPr>
        <w:pStyle w:val="enumlev1"/>
      </w:pPr>
      <w:r w:rsidRPr="00D71F93">
        <w:lastRenderedPageBreak/>
        <w:t>–</w:t>
      </w:r>
      <w:r w:rsidRPr="00D71F93">
        <w:tab/>
      </w:r>
      <w:r w:rsidR="00067C55">
        <w:t>the</w:t>
      </w:r>
      <w:r w:rsidR="00067C55" w:rsidRPr="00D71F93">
        <w:t xml:space="preserve"> </w:t>
      </w:r>
      <w:r w:rsidRPr="00D71F93">
        <w:t xml:space="preserve">general text on supplementary and auxiliary contours </w:t>
      </w:r>
      <w:r>
        <w:t>–</w:t>
      </w:r>
      <w:r w:rsidRPr="00D71F93">
        <w:t xml:space="preserve"> moved to the Annex that contains the detailed methods on supplementary and auxiliary contours.</w:t>
      </w:r>
    </w:p>
    <w:p w14:paraId="09BC11E7" w14:textId="77777777" w:rsidR="00B9168B" w:rsidRPr="00D71F93" w:rsidRDefault="00B9168B" w:rsidP="00B9168B">
      <w:pPr>
        <w:rPr>
          <w:szCs w:val="24"/>
        </w:rPr>
      </w:pPr>
      <w:r>
        <w:t xml:space="preserve">The text in Recommendation ITU-R SM.1448-0 modified for application to Appendix </w:t>
      </w:r>
      <w:r w:rsidRPr="0588217F">
        <w:rPr>
          <w:b/>
          <w:bCs/>
        </w:rPr>
        <w:t>7</w:t>
      </w:r>
      <w:r>
        <w:t xml:space="preserve"> include</w:t>
      </w:r>
      <w:r w:rsidR="00FF5008">
        <w:t>d</w:t>
      </w:r>
      <w:r>
        <w:t>:</w:t>
      </w:r>
    </w:p>
    <w:p w14:paraId="0F077FAC" w14:textId="77777777" w:rsidR="00B9168B" w:rsidRPr="00D71F93" w:rsidRDefault="00B9168B" w:rsidP="00D41033">
      <w:pPr>
        <w:pStyle w:val="enumlev1"/>
      </w:pPr>
      <w:r w:rsidRPr="00D71F93">
        <w:t>–</w:t>
      </w:r>
      <w:r w:rsidRPr="00D71F93">
        <w:tab/>
        <w:t>specifying use of a single earth station and geostationary space station, includ</w:t>
      </w:r>
      <w:r w:rsidR="00FF5008">
        <w:t>ing</w:t>
      </w:r>
      <w:r w:rsidRPr="00D71F93">
        <w:t xml:space="preserve">: </w:t>
      </w:r>
    </w:p>
    <w:p w14:paraId="2DB9982B" w14:textId="5E6C2E56" w:rsidR="00B9168B" w:rsidRPr="00D71F93" w:rsidRDefault="00B9168B" w:rsidP="00B9168B">
      <w:pPr>
        <w:pStyle w:val="enumlev2"/>
      </w:pPr>
      <w:r w:rsidRPr="0588217F">
        <w:t>•</w:t>
      </w:r>
      <w:r w:rsidRPr="00D71F93">
        <w:rPr>
          <w:szCs w:val="24"/>
        </w:rPr>
        <w:tab/>
      </w:r>
      <w:r w:rsidRPr="00D71F93">
        <w:t>deleting Case 2 and Case 3 (of Appendix 3 of Rec</w:t>
      </w:r>
      <w:r w:rsidR="00CF7D2C">
        <w:t>ommendation</w:t>
      </w:r>
      <w:r w:rsidRPr="00D71F93">
        <w:t xml:space="preserve"> ITU-R SM.1448-0), </w:t>
      </w:r>
    </w:p>
    <w:p w14:paraId="440F6351" w14:textId="77777777" w:rsidR="00B9168B" w:rsidRPr="00D71F93" w:rsidRDefault="00B9168B" w:rsidP="00B9168B">
      <w:pPr>
        <w:pStyle w:val="enumlev2"/>
      </w:pPr>
      <w:r w:rsidRPr="0588217F">
        <w:t>•</w:t>
      </w:r>
      <w:r w:rsidRPr="00D71F93">
        <w:rPr>
          <w:szCs w:val="24"/>
        </w:rPr>
        <w:tab/>
      </w:r>
      <w:r w:rsidRPr="00D71F93">
        <w:t>relocating equations 93 to 98 to follow the new Case 2 (formerly Case 4)</w:t>
      </w:r>
    </w:p>
    <w:p w14:paraId="1D61EF06" w14:textId="6CA70591" w:rsidR="00B9168B" w:rsidRPr="00D71F93" w:rsidRDefault="00B9168B" w:rsidP="00B9168B">
      <w:pPr>
        <w:pStyle w:val="enumlev2"/>
      </w:pPr>
      <w:r w:rsidRPr="0588217F">
        <w:t>•</w:t>
      </w:r>
      <w:r w:rsidRPr="00D71F93">
        <w:rPr>
          <w:szCs w:val="24"/>
        </w:rPr>
        <w:tab/>
      </w:r>
      <w:r w:rsidRPr="00D71F93">
        <w:t xml:space="preserve">setting </w:t>
      </w:r>
      <w:r w:rsidRPr="00D71F93">
        <w:rPr>
          <w:rFonts w:ascii="Symbol" w:hAnsi="Symbol"/>
        </w:rPr>
        <w:t></w:t>
      </w:r>
      <w:r w:rsidRPr="0588217F">
        <w:rPr>
          <w:i/>
          <w:iCs/>
          <w:position w:val="-4"/>
        </w:rPr>
        <w:t>e</w:t>
      </w:r>
      <w:r w:rsidRPr="00D71F93">
        <w:t xml:space="preserve"> </w:t>
      </w:r>
      <w:r w:rsidRPr="00D71F93">
        <w:rPr>
          <w:rFonts w:ascii="Symbol" w:hAnsi="Symbol"/>
        </w:rPr>
        <w:t></w:t>
      </w:r>
      <w:r w:rsidRPr="00D71F93">
        <w:t xml:space="preserve"> </w:t>
      </w:r>
      <w:r w:rsidRPr="00D71F93">
        <w:rPr>
          <w:rFonts w:ascii="Symbol" w:hAnsi="Symbol"/>
        </w:rPr>
        <w:t></w:t>
      </w:r>
      <w:r w:rsidRPr="0588217F">
        <w:rPr>
          <w:i/>
          <w:iCs/>
          <w:position w:val="-4"/>
        </w:rPr>
        <w:t>w</w:t>
      </w:r>
      <w:r w:rsidRPr="00D71F93">
        <w:t xml:space="preserve"> </w:t>
      </w:r>
      <w:r w:rsidRPr="00D71F93">
        <w:rPr>
          <w:rFonts w:ascii="Symbol" w:hAnsi="Symbol"/>
        </w:rPr>
        <w:t></w:t>
      </w:r>
      <w:r w:rsidRPr="00D71F93">
        <w:t xml:space="preserve"> </w:t>
      </w:r>
      <w:r w:rsidRPr="00D71F93">
        <w:rPr>
          <w:rFonts w:ascii="Symbol" w:hAnsi="Symbol"/>
        </w:rPr>
        <w:t></w:t>
      </w:r>
      <w:r w:rsidRPr="00D71F93">
        <w:rPr>
          <w:position w:val="-4"/>
        </w:rPr>
        <w:t>0</w:t>
      </w:r>
      <w:r w:rsidRPr="0588217F">
        <w:t xml:space="preserve"> and replacing </w:t>
      </w:r>
      <w:r w:rsidRPr="00D71F93">
        <w:rPr>
          <w:rFonts w:ascii="Symbol" w:hAnsi="Symbol"/>
        </w:rPr>
        <w:t></w:t>
      </w:r>
      <w:r w:rsidRPr="0588217F">
        <w:rPr>
          <w:i/>
          <w:iCs/>
          <w:position w:val="-4"/>
        </w:rPr>
        <w:t>e</w:t>
      </w:r>
      <w:r w:rsidRPr="0588217F">
        <w:t xml:space="preserve"> and </w:t>
      </w:r>
      <w:r w:rsidRPr="00D71F93">
        <w:rPr>
          <w:rFonts w:ascii="Symbol" w:hAnsi="Symbol"/>
        </w:rPr>
        <w:t></w:t>
      </w:r>
      <w:r w:rsidRPr="0588217F">
        <w:rPr>
          <w:i/>
          <w:iCs/>
          <w:position w:val="-4"/>
        </w:rPr>
        <w:t xml:space="preserve">w </w:t>
      </w:r>
      <w:r w:rsidRPr="0588217F">
        <w:t>with</w:t>
      </w:r>
      <w:r w:rsidRPr="0588217F">
        <w:rPr>
          <w:i/>
          <w:iCs/>
          <w:position w:val="-4"/>
        </w:rPr>
        <w:t xml:space="preserve"> </w:t>
      </w:r>
      <w:r w:rsidRPr="00D71F93">
        <w:rPr>
          <w:rFonts w:ascii="Symbol" w:hAnsi="Symbol"/>
        </w:rPr>
        <w:t></w:t>
      </w:r>
      <w:r w:rsidRPr="00D71F93">
        <w:rPr>
          <w:position w:val="-4"/>
        </w:rPr>
        <w:t>0</w:t>
      </w:r>
      <w:r w:rsidRPr="0588217F">
        <w:t xml:space="preserve"> in equations 94, 95, 96 and 97 (</w:t>
      </w:r>
      <w:r w:rsidRPr="00D71F93">
        <w:t>of Appendix 3 of Rec</w:t>
      </w:r>
      <w:r w:rsidR="00CF7D2C">
        <w:t>ommendation</w:t>
      </w:r>
      <w:r w:rsidRPr="00D71F93">
        <w:t xml:space="preserve"> ITU-R SM.1448-0) </w:t>
      </w:r>
      <w:r w:rsidRPr="0588217F">
        <w:t>together with rationalisation of the supporting text</w:t>
      </w:r>
      <w:r w:rsidRPr="00D71F93">
        <w:t>;</w:t>
      </w:r>
    </w:p>
    <w:p w14:paraId="511B6F6D" w14:textId="762B4650" w:rsidR="00B9168B" w:rsidRPr="00D71F93" w:rsidRDefault="00B9168B" w:rsidP="00B9168B">
      <w:pPr>
        <w:pStyle w:val="enumlev2"/>
      </w:pPr>
      <w:r w:rsidRPr="0588217F">
        <w:t>•</w:t>
      </w:r>
      <w:r w:rsidRPr="00D71F93">
        <w:rPr>
          <w:szCs w:val="24"/>
        </w:rPr>
        <w:tab/>
      </w:r>
      <w:r w:rsidRPr="00D71F93">
        <w:t>for the bidirectional case (Appendix 6 of Rec</w:t>
      </w:r>
      <w:r w:rsidR="00CF7D2C">
        <w:t>ommendation</w:t>
      </w:r>
      <w:r w:rsidRPr="00D71F93">
        <w:t xml:space="preserve"> ITU-R SM.1448), Step 2 of § 2.1 change the reference from Case 2 to Case 1, insert </w:t>
      </w:r>
      <w:r w:rsidRPr="00D71F93">
        <w:sym w:font="Symbol" w:char="F06A"/>
      </w:r>
      <w:r w:rsidRPr="00D71F93">
        <w:t>(α</w:t>
      </w:r>
      <w:r w:rsidRPr="0588217F">
        <w:rPr>
          <w:i/>
          <w:iCs/>
          <w:vertAlign w:val="subscript"/>
        </w:rPr>
        <w:t>r</w:t>
      </w:r>
      <w:r w:rsidRPr="00D71F93">
        <w:t xml:space="preserve">) is the minimum value of </w:t>
      </w:r>
      <w:r w:rsidRPr="00D71F93">
        <w:sym w:font="Symbol" w:char="F06A"/>
      </w:r>
      <w:r w:rsidRPr="00D71F93">
        <w:t>(α</w:t>
      </w:r>
      <w:r w:rsidRPr="0588217F">
        <w:rPr>
          <w:i/>
          <w:iCs/>
          <w:vertAlign w:val="subscript"/>
        </w:rPr>
        <w:t>r</w:t>
      </w:r>
      <w:r w:rsidRPr="00D71F93">
        <w:t>, 0, δ</w:t>
      </w:r>
      <w:r w:rsidRPr="00D71F93">
        <w:rPr>
          <w:vertAlign w:val="subscript"/>
        </w:rPr>
        <w:t>0</w:t>
      </w:r>
      <w:r w:rsidRPr="00D71F93">
        <w:t>) and replace δ</w:t>
      </w:r>
      <w:r w:rsidRPr="00D71F93">
        <w:rPr>
          <w:vertAlign w:val="subscript"/>
        </w:rPr>
        <w:t xml:space="preserve"> </w:t>
      </w:r>
      <w:r w:rsidRPr="00D71F93">
        <w:t>with</w:t>
      </w:r>
      <w:r w:rsidRPr="00D71F93">
        <w:rPr>
          <w:vertAlign w:val="subscript"/>
        </w:rPr>
        <w:t xml:space="preserve"> </w:t>
      </w:r>
      <w:r w:rsidRPr="00D71F93">
        <w:t>δ</w:t>
      </w:r>
      <w:r w:rsidRPr="00D71F93">
        <w:rPr>
          <w:vertAlign w:val="subscript"/>
        </w:rPr>
        <w:t>0</w:t>
      </w:r>
      <w:r w:rsidRPr="00D71F93">
        <w:t>;</w:t>
      </w:r>
    </w:p>
    <w:p w14:paraId="248E95EC" w14:textId="77777777" w:rsidR="00B9168B" w:rsidRPr="00D71F93" w:rsidRDefault="00B9168B" w:rsidP="00B9168B">
      <w:pPr>
        <w:pStyle w:val="enumlev1"/>
      </w:pPr>
      <w:r w:rsidRPr="00D71F93">
        <w:t>–</w:t>
      </w:r>
      <w:r w:rsidRPr="00D71F93">
        <w:tab/>
        <w:t xml:space="preserve">internal references </w:t>
      </w:r>
      <w:r>
        <w:t>–</w:t>
      </w:r>
      <w:r w:rsidRPr="00D71F93">
        <w:t xml:space="preserve"> due to the different structures of an ITU Recommendation and an Appendix of the Radio Regulations;</w:t>
      </w:r>
    </w:p>
    <w:p w14:paraId="0D1A32BD" w14:textId="77777777" w:rsidR="00B9168B" w:rsidRPr="00D71F93" w:rsidRDefault="00B9168B" w:rsidP="00B9168B">
      <w:pPr>
        <w:pStyle w:val="enumlev1"/>
      </w:pPr>
      <w:r w:rsidRPr="00D71F93">
        <w:t>–</w:t>
      </w:r>
      <w:r w:rsidRPr="00D71F93">
        <w:tab/>
        <w:t>equation numbering – following the relocation and deletion of various sections;</w:t>
      </w:r>
    </w:p>
    <w:p w14:paraId="41193262" w14:textId="77777777" w:rsidR="00B9168B" w:rsidRPr="00AC4185" w:rsidRDefault="00B9168B" w:rsidP="00B9168B">
      <w:pPr>
        <w:pStyle w:val="enumlev1"/>
        <w:rPr>
          <w:spacing w:val="-2"/>
        </w:rPr>
      </w:pPr>
      <w:r w:rsidRPr="0588217F">
        <w:t>–</w:t>
      </w:r>
      <w:r w:rsidRPr="00AC4185">
        <w:rPr>
          <w:spacing w:val="-2"/>
        </w:rPr>
        <w:tab/>
        <w:t xml:space="preserve">additional modifications rationalising the text from Recommendation ITU-R SM.1448-0. </w:t>
      </w:r>
    </w:p>
    <w:p w14:paraId="7EAEBC81" w14:textId="77777777" w:rsidR="00B9168B" w:rsidRPr="00D71F93" w:rsidRDefault="00B9168B" w:rsidP="00B9168B">
      <w:pPr>
        <w:rPr>
          <w:szCs w:val="24"/>
        </w:rPr>
      </w:pPr>
      <w:r>
        <w:t xml:space="preserve">Information in Appendix </w:t>
      </w:r>
      <w:r w:rsidRPr="0588217F">
        <w:rPr>
          <w:b/>
          <w:bCs/>
        </w:rPr>
        <w:t>7</w:t>
      </w:r>
      <w:r>
        <w:t xml:space="preserve"> that is not in Recommendation ITU-R SM.1448-0 are the predetermined coordination distances, as following WRC-97 they were located in Appendix S</w:t>
      </w:r>
      <w:r w:rsidRPr="0588217F">
        <w:rPr>
          <w:b/>
          <w:bCs/>
        </w:rPr>
        <w:t>5</w:t>
      </w:r>
      <w:r>
        <w:t>.</w:t>
      </w:r>
    </w:p>
    <w:p w14:paraId="10829814" w14:textId="77777777" w:rsidR="00B9168B" w:rsidRPr="00D71F93" w:rsidRDefault="00B9168B" w:rsidP="00B9168B">
      <w:pPr>
        <w:pStyle w:val="Heading2"/>
      </w:pPr>
      <w:bookmarkStart w:id="19" w:name="_Toc514255662"/>
      <w:bookmarkStart w:id="20" w:name="_Toc514259769"/>
      <w:r w:rsidRPr="00D71F93">
        <w:t>2.3</w:t>
      </w:r>
      <w:r w:rsidRPr="00D71F93">
        <w:tab/>
        <w:t xml:space="preserve">Recommendation </w:t>
      </w:r>
      <w:r>
        <w:t xml:space="preserve">ITU-R </w:t>
      </w:r>
      <w:r w:rsidRPr="00D71F93">
        <w:t>SM.1448 and its component recommendations</w:t>
      </w:r>
      <w:bookmarkEnd w:id="19"/>
      <w:bookmarkEnd w:id="20"/>
    </w:p>
    <w:p w14:paraId="7D10EA70" w14:textId="77777777" w:rsidR="00B9168B" w:rsidRPr="00D71F93" w:rsidRDefault="00B9168B" w:rsidP="00B9168B">
      <w:pPr>
        <w:rPr>
          <w:szCs w:val="24"/>
        </w:rPr>
      </w:pPr>
      <w:r>
        <w:t xml:space="preserve">The original review of Appendix </w:t>
      </w:r>
      <w:r w:rsidRPr="0588217F">
        <w:rPr>
          <w:b/>
          <w:bCs/>
        </w:rPr>
        <w:t>28</w:t>
      </w:r>
      <w:r>
        <w:t xml:space="preserve"> (</w:t>
      </w:r>
      <w:r w:rsidRPr="0588217F">
        <w:rPr>
          <w:b/>
          <w:bCs/>
        </w:rPr>
        <w:t>S7</w:t>
      </w:r>
      <w:r>
        <w:t>) for consideration at WRC97 was in part based on an updated propagation mode (1) model and the following were identified as essential components:</w:t>
      </w:r>
    </w:p>
    <w:p w14:paraId="0CFECD37" w14:textId="77777777" w:rsidR="00B9168B" w:rsidRPr="00D71F93" w:rsidRDefault="00B9168B" w:rsidP="00B9168B">
      <w:pPr>
        <w:pStyle w:val="enumlev1"/>
      </w:pPr>
      <w:r w:rsidRPr="00D71F93">
        <w:t>–</w:t>
      </w:r>
      <w:r w:rsidRPr="00D71F93">
        <w:tab/>
        <w:t xml:space="preserve">Appendix </w:t>
      </w:r>
      <w:r w:rsidRPr="0588217F">
        <w:rPr>
          <w:b/>
          <w:bCs/>
        </w:rPr>
        <w:t>28</w:t>
      </w:r>
      <w:r w:rsidRPr="00D71F93">
        <w:t xml:space="preserve"> (</w:t>
      </w:r>
      <w:r w:rsidRPr="0588217F">
        <w:rPr>
          <w:b/>
          <w:bCs/>
        </w:rPr>
        <w:t>S7</w:t>
      </w:r>
      <w:r w:rsidRPr="00D71F93">
        <w:t xml:space="preserve">) of the Radio Regulations </w:t>
      </w:r>
    </w:p>
    <w:p w14:paraId="26137AA5" w14:textId="77777777" w:rsidR="00B9168B" w:rsidRPr="00D71F93" w:rsidRDefault="00B9168B" w:rsidP="00B9168B">
      <w:pPr>
        <w:pStyle w:val="enumlev1"/>
      </w:pPr>
      <w:r w:rsidRPr="00D71F93">
        <w:t>–</w:t>
      </w:r>
      <w:r w:rsidRPr="00D71F93">
        <w:tab/>
      </w:r>
      <w:r w:rsidRPr="0588217F">
        <w:t>Recommendation ITU-R IS.847-1 (1993)</w:t>
      </w:r>
      <w:r w:rsidRPr="0588217F">
        <w:rPr>
          <w:i/>
          <w:iCs/>
        </w:rPr>
        <w:t xml:space="preserve"> Determination Of The Coordination Area Of An Earth Station Operating With A Geostationary Space Station And Using The Same Frequency Band As A System In A Terrestrial Service</w:t>
      </w:r>
      <w:r w:rsidRPr="00D71F93">
        <w:t xml:space="preserve"> was prepared as an update of Appendix </w:t>
      </w:r>
      <w:r w:rsidRPr="0588217F">
        <w:rPr>
          <w:b/>
          <w:bCs/>
        </w:rPr>
        <w:t>28</w:t>
      </w:r>
      <w:r w:rsidRPr="00D71F93">
        <w:t xml:space="preserve"> (</w:t>
      </w:r>
      <w:r w:rsidRPr="0588217F">
        <w:rPr>
          <w:b/>
          <w:bCs/>
        </w:rPr>
        <w:t>S7</w:t>
      </w:r>
      <w:r w:rsidRPr="00D71F93">
        <w:t>). It provided updated system parameters and propagation models, and, in addition, provided a method for the co-ordination area for earth stations operating to GSO satellites in slightly inclined orbits.</w:t>
      </w:r>
    </w:p>
    <w:p w14:paraId="5454C03E" w14:textId="77777777" w:rsidR="00B9168B" w:rsidRPr="00D71F93" w:rsidRDefault="00B9168B" w:rsidP="00B9168B">
      <w:pPr>
        <w:pStyle w:val="enumlev1"/>
      </w:pPr>
      <w:r w:rsidRPr="00D71F93">
        <w:t>–</w:t>
      </w:r>
      <w:r w:rsidRPr="00D71F93">
        <w:tab/>
      </w:r>
      <w:r w:rsidRPr="0588217F">
        <w:t xml:space="preserve">Recommendation ITU-R IS.848-1 (1993) </w:t>
      </w:r>
      <w:r w:rsidRPr="0588217F">
        <w:rPr>
          <w:i/>
          <w:iCs/>
        </w:rPr>
        <w:t>Determination Of The Coordination Area Of A Transmitting Earth Station Using The Same Frequency Band As Receiving Earth Stations In Bidirectionally Allocated Frequency Bands</w:t>
      </w:r>
      <w:r w:rsidRPr="00D71F93">
        <w:t>. An addendum to Recommendation ITU</w:t>
      </w:r>
      <w:r w:rsidRPr="00D71F93">
        <w:noBreakHyphen/>
        <w:t>R IS.847-1 that provides a method for the determination of co</w:t>
      </w:r>
      <w:r w:rsidRPr="00D71F93">
        <w:noBreakHyphen/>
        <w:t>ordination distance between two earth stations, operating to satellites in the GSO, one of which is operating in the opposite (or ‘reverse band’) direction of transmission.</w:t>
      </w:r>
    </w:p>
    <w:p w14:paraId="525FDC1F" w14:textId="77777777" w:rsidR="00B9168B" w:rsidRPr="00D71F93" w:rsidRDefault="00B9168B" w:rsidP="00B9168B">
      <w:pPr>
        <w:pStyle w:val="enumlev1"/>
      </w:pPr>
      <w:r w:rsidRPr="00D71F93">
        <w:t>–</w:t>
      </w:r>
      <w:r w:rsidRPr="00D71F93">
        <w:tab/>
      </w:r>
      <w:r w:rsidRPr="0588217F">
        <w:t xml:space="preserve">Recommendation ITU-R IS.849-1 (1993) </w:t>
      </w:r>
      <w:r w:rsidRPr="0588217F">
        <w:rPr>
          <w:i/>
          <w:iCs/>
        </w:rPr>
        <w:t>Determination Of The Coordination Area For Earth Stations Operating With Non-Geostationary Spacecraft In Bands Shared With Terrestrial Services</w:t>
      </w:r>
      <w:r w:rsidRPr="00D71F93">
        <w:t>. A second addendum to Recommendation ITU-R IS.847-1, which provides a method for determining the co-ordination area for earth stations operating to satellites in the non-geostationary orbit (NGSO). It also contained three alternative approaches to the calculation of the effective earth station antenna gain in the direction of the horizon.</w:t>
      </w:r>
    </w:p>
    <w:p w14:paraId="428C63AF" w14:textId="77777777" w:rsidR="00B9168B" w:rsidRPr="00D71F93" w:rsidRDefault="00B9168B" w:rsidP="00B9168B">
      <w:pPr>
        <w:pStyle w:val="enumlev1"/>
      </w:pPr>
      <w:r w:rsidRPr="00D71F93">
        <w:lastRenderedPageBreak/>
        <w:t>–</w:t>
      </w:r>
      <w:r w:rsidRPr="00D71F93">
        <w:tab/>
      </w:r>
      <w:r w:rsidRPr="0588217F">
        <w:t>Recommendation ITU-R P.620-2 (1995)</w:t>
      </w:r>
      <w:r w:rsidRPr="0588217F">
        <w:rPr>
          <w:i/>
          <w:iCs/>
        </w:rPr>
        <w:t xml:space="preserve"> Propagation Data Required For The Evaluation Of Coordination Distances In The Frequency Range 1</w:t>
      </w:r>
      <w:r w:rsidRPr="0588217F">
        <w:rPr>
          <w:i/>
          <w:iCs/>
        </w:rPr>
        <w:noBreakHyphen/>
        <w:t>40 GHz</w:t>
      </w:r>
      <w:r w:rsidRPr="00D71F93">
        <w:t>. It provided the latest information on propagation models to be used for the determination of co-ordination distance at frequencies above 1</w:t>
      </w:r>
      <w:r>
        <w:t> </w:t>
      </w:r>
      <w:r w:rsidRPr="00D71F93">
        <w:t>GHz.</w:t>
      </w:r>
    </w:p>
    <w:p w14:paraId="1ED902EC" w14:textId="77777777" w:rsidR="00B9168B" w:rsidRPr="00D71F93" w:rsidRDefault="00B9168B" w:rsidP="00B9168B">
      <w:r w:rsidRPr="00D71F93">
        <w:t>Studies</w:t>
      </w:r>
      <w:r w:rsidRPr="00D71F93">
        <w:rPr>
          <w:rStyle w:val="FootnoteReference"/>
        </w:rPr>
        <w:footnoteReference w:id="11"/>
      </w:r>
      <w:r w:rsidRPr="00D71F93">
        <w:t xml:space="preserve"> between July</w:t>
      </w:r>
      <w:r>
        <w:t xml:space="preserve"> </w:t>
      </w:r>
      <w:r w:rsidRPr="00D71F93">
        <w:t>1997 and November 1999 in Task Group 1/6 (TG</w:t>
      </w:r>
      <w:r>
        <w:t> </w:t>
      </w:r>
      <w:r w:rsidRPr="00D71F93">
        <w:t>1/6) led to the development of Recommendation ITU-R SM.1448 and the suppression</w:t>
      </w:r>
      <w:r w:rsidRPr="00D71F93">
        <w:rPr>
          <w:rStyle w:val="FootnoteReference"/>
        </w:rPr>
        <w:footnoteReference w:id="12"/>
      </w:r>
      <w:r w:rsidRPr="00D71F93">
        <w:t xml:space="preserve"> of the</w:t>
      </w:r>
      <w:r w:rsidR="00FF5008">
        <w:t>se</w:t>
      </w:r>
      <w:r w:rsidRPr="00D71F93">
        <w:t xml:space="preserve"> IS series recommendations.</w:t>
      </w:r>
    </w:p>
    <w:p w14:paraId="0651E31E" w14:textId="77777777" w:rsidR="00B9168B" w:rsidRPr="00D71F93" w:rsidRDefault="00B9168B" w:rsidP="00B9168B">
      <w:pPr>
        <w:pStyle w:val="Heading3"/>
      </w:pPr>
      <w:bookmarkStart w:id="21" w:name="_Toc514255663"/>
      <w:bookmarkStart w:id="22" w:name="_Toc514259770"/>
      <w:r w:rsidRPr="00D71F93">
        <w:t>2.3.1</w:t>
      </w:r>
      <w:r w:rsidRPr="00D71F93">
        <w:tab/>
        <w:t xml:space="preserve">Recommendation </w:t>
      </w:r>
      <w:r>
        <w:t xml:space="preserve">ITU-R </w:t>
      </w:r>
      <w:r w:rsidRPr="00D71F93">
        <w:t>SM.1448 structure</w:t>
      </w:r>
      <w:bookmarkEnd w:id="21"/>
      <w:bookmarkEnd w:id="22"/>
      <w:r w:rsidRPr="00D71F93">
        <w:t xml:space="preserve"> </w:t>
      </w:r>
    </w:p>
    <w:p w14:paraId="0E829F0A" w14:textId="77777777" w:rsidR="00FF5008" w:rsidRDefault="00B9168B" w:rsidP="00B9168B">
      <w:r w:rsidRPr="00D71F93">
        <w:t>TG1/6’s studies were required</w:t>
      </w:r>
      <w:r w:rsidRPr="0588217F">
        <w:rPr>
          <w:rStyle w:val="FootnoteReference"/>
        </w:rPr>
        <w:footnoteReference w:id="13"/>
      </w:r>
      <w:r w:rsidRPr="00D71F93">
        <w:t xml:space="preserve"> to be in a form suitable for use in the Radio Regulations and it was decided</w:t>
      </w:r>
      <w:r w:rsidRPr="0588217F">
        <w:rPr>
          <w:rStyle w:val="FootnoteReference"/>
        </w:rPr>
        <w:footnoteReference w:id="14"/>
      </w:r>
      <w:r w:rsidRPr="00D71F93">
        <w:t xml:space="preserve"> to develop a single integrated recommendation that comprised the new methods, sharing scenarios and elements of the component recommendations </w:t>
      </w:r>
      <w:r w:rsidRPr="00D71F93">
        <w:rPr>
          <w:lang w:eastAsia="en-GB"/>
        </w:rPr>
        <w:t xml:space="preserve">(Recommendations ITU-R IS series 847, 848 and 849 and ITU-R P.620-4 </w:t>
      </w:r>
      <w:r w:rsidRPr="0588217F">
        <w:t>(1999)</w:t>
      </w:r>
      <w:r w:rsidRPr="00D71F93">
        <w:rPr>
          <w:lang w:eastAsia="en-GB"/>
        </w:rPr>
        <w:t>)</w:t>
      </w:r>
      <w:r w:rsidRPr="00D71F93">
        <w:t xml:space="preserve">, instead of references to specific calculations or terms in other recommendations. </w:t>
      </w:r>
    </w:p>
    <w:p w14:paraId="441BEB65" w14:textId="77777777" w:rsidR="00B9168B" w:rsidRPr="00D71F93" w:rsidRDefault="00B9168B" w:rsidP="00B9168B">
      <w:r w:rsidRPr="00D71F93">
        <w:t xml:space="preserve">A single integrated text was considered to improve comprehension of the required elements of the component recommendations with </w:t>
      </w:r>
      <w:r w:rsidRPr="00D71F93">
        <w:rPr>
          <w:rFonts w:eastAsia="Droid Sans"/>
          <w:color w:val="000000" w:themeColor="text1"/>
        </w:rPr>
        <w:t xml:space="preserve">terms and symbols in both the equations and text consistent throughout the document, and </w:t>
      </w:r>
      <w:r w:rsidRPr="00D71F93">
        <w:t xml:space="preserve">avoid potential difficulties from differences in definition, terminology and symbols in the component recommendations (see also § 2.3.2 and § 2.4.2). </w:t>
      </w:r>
    </w:p>
    <w:p w14:paraId="7E225455" w14:textId="0248012A" w:rsidR="00B9168B" w:rsidRPr="00D71F93" w:rsidRDefault="00B9168B" w:rsidP="00B9168B">
      <w:r>
        <w:t>Within Recommendation ITU-R SM.1448-0, the procedures and the system information are provided in two Annexes: the procedures in Annex 1 and the system information in Annex 2 of the Recommendation. Further the general principles (e.g. sharing scenarios, propagation principles, correction factor) are separated from the details (e.g. calculations, detailed construction)</w:t>
      </w:r>
      <w:r w:rsidR="00FF5008">
        <w:t>.</w:t>
      </w:r>
      <w:r>
        <w:t xml:space="preserve"> </w:t>
      </w:r>
      <w:r w:rsidR="00FF5008">
        <w:t>T</w:t>
      </w:r>
      <w:r>
        <w:t xml:space="preserve">he former </w:t>
      </w:r>
      <w:r w:rsidR="00FF5008">
        <w:t xml:space="preserve">are </w:t>
      </w:r>
      <w:r>
        <w:t xml:space="preserve">contained in the main body of Annex 1 and the latter in a series of Appendices to Annex 1. </w:t>
      </w:r>
    </w:p>
    <w:p w14:paraId="060A4E7F" w14:textId="77777777" w:rsidR="00B9168B" w:rsidRPr="00D71F93" w:rsidRDefault="00B9168B" w:rsidP="00B9168B">
      <w:pPr>
        <w:pStyle w:val="Heading3"/>
      </w:pPr>
      <w:bookmarkStart w:id="23" w:name="_Toc514255664"/>
      <w:bookmarkStart w:id="24" w:name="_Toc514259771"/>
      <w:r>
        <w:t>2.3.2</w:t>
      </w:r>
      <w:r>
        <w:tab/>
        <w:t xml:space="preserve">Recommendation </w:t>
      </w:r>
      <w:hyperlink r:id="rId15" w:history="1">
        <w:r w:rsidRPr="00CF7D2C">
          <w:rPr>
            <w:rStyle w:val="Hyperlink"/>
            <w:color w:val="auto"/>
            <w:u w:val="none"/>
          </w:rPr>
          <w:t>ITU-R P.620</w:t>
        </w:r>
      </w:hyperlink>
      <w:r w:rsidRPr="00D71F93">
        <w:t xml:space="preserve"> content and format</w:t>
      </w:r>
      <w:bookmarkEnd w:id="23"/>
      <w:bookmarkEnd w:id="24"/>
    </w:p>
    <w:p w14:paraId="54721D4D" w14:textId="77777777" w:rsidR="00B9168B" w:rsidRPr="00D71F93" w:rsidRDefault="00B9168B" w:rsidP="00B9168B">
      <w:pPr>
        <w:pStyle w:val="Heading4"/>
      </w:pPr>
      <w:bookmarkStart w:id="25" w:name="_Toc514255665"/>
      <w:bookmarkStart w:id="26" w:name="_Toc514259772"/>
      <w:r w:rsidRPr="00D71F93">
        <w:t>2.3.2.1</w:t>
      </w:r>
      <w:r w:rsidRPr="00D71F93">
        <w:tab/>
        <w:t xml:space="preserve">Issues </w:t>
      </w:r>
      <w:r>
        <w:t>requiring the</w:t>
      </w:r>
      <w:r w:rsidRPr="00D71F93">
        <w:t xml:space="preserve"> merg</w:t>
      </w:r>
      <w:r>
        <w:t>er</w:t>
      </w:r>
      <w:r w:rsidRPr="00D71F93">
        <w:t xml:space="preserve"> </w:t>
      </w:r>
      <w:r>
        <w:t xml:space="preserve">of </w:t>
      </w:r>
      <w:r w:rsidRPr="00D71F93">
        <w:t>the propagation texts into a single text</w:t>
      </w:r>
      <w:bookmarkEnd w:id="25"/>
      <w:bookmarkEnd w:id="26"/>
    </w:p>
    <w:p w14:paraId="38DAF188" w14:textId="77777777" w:rsidR="00B9168B" w:rsidRPr="00D71F93" w:rsidRDefault="00B9168B" w:rsidP="00B9168B">
      <w:r w:rsidRPr="00D71F93">
        <w:t>The draft revision of Recommendation ITU-R P.620-3 contained three separate propagation models with references to com</w:t>
      </w:r>
      <w:r>
        <w:t>ponent Recommendations ITU-R P.</w:t>
      </w:r>
      <w:r w:rsidRPr="00D71F93">
        <w:t>(</w:t>
      </w:r>
      <w:r w:rsidR="00C021AC" w:rsidRPr="00D41033">
        <w:t>452</w:t>
      </w:r>
      <w:r w:rsidRPr="00C021AC">
        <w:rPr>
          <w:lang w:eastAsia="en-GB"/>
        </w:rPr>
        <w:t xml:space="preserve">, </w:t>
      </w:r>
      <w:r w:rsidR="00C021AC" w:rsidRPr="00D41033">
        <w:t>453</w:t>
      </w:r>
      <w:r w:rsidRPr="00C021AC">
        <w:rPr>
          <w:lang w:eastAsia="en-GB"/>
        </w:rPr>
        <w:t xml:space="preserve">, </w:t>
      </w:r>
      <w:r w:rsidR="00C021AC" w:rsidRPr="00D41033">
        <w:t>676</w:t>
      </w:r>
      <w:r w:rsidRPr="00C021AC">
        <w:rPr>
          <w:lang w:eastAsia="en-GB"/>
        </w:rPr>
        <w:t xml:space="preserve">, </w:t>
      </w:r>
      <w:r w:rsidR="00C021AC" w:rsidRPr="00D41033">
        <w:t>835</w:t>
      </w:r>
      <w:r w:rsidRPr="00C021AC">
        <w:rPr>
          <w:lang w:eastAsia="en-GB"/>
        </w:rPr>
        <w:t xml:space="preserve">, </w:t>
      </w:r>
      <w:r w:rsidR="00C021AC" w:rsidRPr="00D41033">
        <w:t>836</w:t>
      </w:r>
      <w:r w:rsidRPr="00C021AC">
        <w:rPr>
          <w:lang w:eastAsia="en-GB"/>
        </w:rPr>
        <w:t xml:space="preserve">, </w:t>
      </w:r>
      <w:r w:rsidR="00C021AC" w:rsidRPr="00D41033">
        <w:t>837</w:t>
      </w:r>
      <w:r w:rsidRPr="00C021AC">
        <w:rPr>
          <w:lang w:eastAsia="en-GB"/>
        </w:rPr>
        <w:t xml:space="preserve">, </w:t>
      </w:r>
      <w:r w:rsidR="00C021AC" w:rsidRPr="00D41033">
        <w:t>838</w:t>
      </w:r>
      <w:r w:rsidRPr="00C021AC">
        <w:rPr>
          <w:lang w:eastAsia="en-GB"/>
        </w:rPr>
        <w:t xml:space="preserve">, </w:t>
      </w:r>
      <w:r w:rsidR="00C021AC" w:rsidRPr="00D41033">
        <w:t>839</w:t>
      </w:r>
      <w:r w:rsidRPr="00C021AC">
        <w:rPr>
          <w:lang w:eastAsia="en-GB"/>
        </w:rPr>
        <w:t xml:space="preserve"> and</w:t>
      </w:r>
      <w:r w:rsidR="00C021AC" w:rsidRPr="00D41033">
        <w:t xml:space="preserve"> 841</w:t>
      </w:r>
      <w:r w:rsidRPr="00D71F93">
        <w:rPr>
          <w:lang w:eastAsia="en-GB"/>
        </w:rPr>
        <w:t>)</w:t>
      </w:r>
      <w:r w:rsidRPr="00D71F93">
        <w:rPr>
          <w:rStyle w:val="FootnoteReference"/>
          <w:lang w:eastAsia="en-GB"/>
        </w:rPr>
        <w:footnoteReference w:id="15"/>
      </w:r>
      <w:r w:rsidRPr="00D71F93">
        <w:rPr>
          <w:lang w:eastAsia="en-GB"/>
        </w:rPr>
        <w:t xml:space="preserve"> and </w:t>
      </w:r>
      <w:r w:rsidRPr="00D71F93">
        <w:t xml:space="preserve">TG1/6 found a </w:t>
      </w:r>
      <w:r w:rsidRPr="00D71F93">
        <w:rPr>
          <w:rFonts w:eastAsia="Droid Sans"/>
          <w:color w:val="000000" w:themeColor="text1"/>
        </w:rPr>
        <w:t xml:space="preserve">number of issues in attempting to merge it into their proposed </w:t>
      </w:r>
      <w:r w:rsidR="003B4366" w:rsidRPr="00D71F93">
        <w:rPr>
          <w:rFonts w:eastAsia="Droid Sans"/>
          <w:color w:val="000000" w:themeColor="text1"/>
        </w:rPr>
        <w:lastRenderedPageBreak/>
        <w:t>DNR</w:t>
      </w:r>
      <w:r w:rsidR="003B4366">
        <w:rPr>
          <w:rFonts w:eastAsia="Droid Sans"/>
          <w:color w:val="000000" w:themeColor="text1"/>
        </w:rPr>
        <w:t> </w:t>
      </w:r>
      <w:r w:rsidRPr="00D71F93">
        <w:rPr>
          <w:rFonts w:eastAsia="Droid Sans"/>
          <w:color w:val="000000" w:themeColor="text1"/>
        </w:rPr>
        <w:t>(</w:t>
      </w:r>
      <w:r w:rsidRPr="00D71F93">
        <w:rPr>
          <w:lang w:eastAsia="en-GB"/>
        </w:rPr>
        <w:t xml:space="preserve">ITU-R </w:t>
      </w:r>
      <w:r w:rsidRPr="00D71F93">
        <w:rPr>
          <w:rFonts w:eastAsia="Droid Sans"/>
          <w:color w:val="000000" w:themeColor="text1"/>
        </w:rPr>
        <w:t xml:space="preserve">SM.1448). </w:t>
      </w:r>
      <w:r w:rsidRPr="00D71F93">
        <w:t>In relation to the references to the component propagation recommendations there were also concerns</w:t>
      </w:r>
      <w:r w:rsidRPr="0588217F">
        <w:rPr>
          <w:rStyle w:val="FootnoteReference"/>
        </w:rPr>
        <w:footnoteReference w:id="16"/>
      </w:r>
      <w:r w:rsidRPr="00D71F93">
        <w:t xml:space="preserve"> that:</w:t>
      </w:r>
    </w:p>
    <w:p w14:paraId="4270D116" w14:textId="77777777" w:rsidR="00B9168B" w:rsidRPr="00D71F93" w:rsidRDefault="00B9168B" w:rsidP="00B9168B">
      <w:pPr>
        <w:pStyle w:val="enumlev1"/>
        <w:rPr>
          <w:rFonts w:eastAsia="Droid Sans"/>
          <w:color w:val="000000" w:themeColor="text1"/>
        </w:rPr>
      </w:pPr>
      <w:r w:rsidRPr="00D71F93">
        <w:t>–</w:t>
      </w:r>
      <w:r w:rsidRPr="00D71F93">
        <w:tab/>
        <w:t>the individual recommendations had specific calculation purposes and it was not clear how they and the assumptions used in them aligned with Recommendation ITU-R P.620;</w:t>
      </w:r>
    </w:p>
    <w:p w14:paraId="7D121B4B" w14:textId="77777777" w:rsidR="00B9168B" w:rsidRPr="00D71F93" w:rsidRDefault="00B9168B" w:rsidP="00B9168B">
      <w:pPr>
        <w:pStyle w:val="enumlev1"/>
        <w:rPr>
          <w:rFonts w:eastAsia="Droid Sans"/>
          <w:color w:val="000000" w:themeColor="text1"/>
        </w:rPr>
      </w:pPr>
      <w:r w:rsidRPr="0588217F">
        <w:rPr>
          <w:i/>
          <w:iCs/>
        </w:rPr>
        <w:t>–</w:t>
      </w:r>
      <w:r w:rsidRPr="00D71F93">
        <w:rPr>
          <w:i/>
        </w:rPr>
        <w:tab/>
      </w:r>
      <w:r w:rsidRPr="0588217F">
        <w:rPr>
          <w:i/>
          <w:iCs/>
        </w:rPr>
        <w:t>“development over time, of the component recommendations, may make them unsuitable for inclusion within a composite propagation text”,</w:t>
      </w:r>
      <w:r w:rsidRPr="00D71F93">
        <w:t xml:space="preserve"> or the combined recommendation and its results as adopted by SG 1 and subsequently a WRC.</w:t>
      </w:r>
    </w:p>
    <w:p w14:paraId="3AAE1870" w14:textId="77777777" w:rsidR="00B9168B" w:rsidRPr="00D71F93" w:rsidRDefault="00B9168B" w:rsidP="00B9168B">
      <w:pPr>
        <w:rPr>
          <w:rFonts w:eastAsia="Droid Sans"/>
          <w:i/>
          <w:iCs/>
          <w:color w:val="000000" w:themeColor="text1"/>
        </w:rPr>
      </w:pPr>
      <w:r w:rsidRPr="0588217F">
        <w:rPr>
          <w:rFonts w:eastAsia="Droid Sans"/>
          <w:color w:val="000000" w:themeColor="text1"/>
        </w:rPr>
        <w:t>TG 1/6 requested</w:t>
      </w:r>
      <w:r w:rsidRPr="0588217F">
        <w:rPr>
          <w:rStyle w:val="FootnoteReference"/>
          <w:rFonts w:eastAsia="Droid Sans"/>
          <w:color w:val="000000" w:themeColor="text1"/>
        </w:rPr>
        <w:footnoteReference w:id="17"/>
      </w:r>
      <w:r w:rsidRPr="0588217F">
        <w:rPr>
          <w:rFonts w:eastAsia="Droid Sans"/>
          <w:color w:val="000000" w:themeColor="text1"/>
        </w:rPr>
        <w:t xml:space="preserve"> Working Party 3M (WP 3M) to provide a revised propagation text that could be merged more directly into </w:t>
      </w:r>
      <w:r w:rsidRPr="0588217F">
        <w:t xml:space="preserve">TG 1/6’s proposed DNR (see § 3.4.2) that would be a </w:t>
      </w:r>
      <w:r w:rsidRPr="00D71F93">
        <w:t>stand-alone text</w:t>
      </w:r>
      <w:r w:rsidRPr="0588217F">
        <w:rPr>
          <w:rFonts w:eastAsia="Droid Sans"/>
          <w:color w:val="000000" w:themeColor="text1"/>
        </w:rPr>
        <w:t xml:space="preserve">. </w:t>
      </w:r>
      <w:r w:rsidRPr="0588217F">
        <w:rPr>
          <w:rFonts w:eastAsia="Droid Sans"/>
          <w:color w:val="000000"/>
        </w:rPr>
        <w:t xml:space="preserve">TG 1/6 was of the opinion that </w:t>
      </w:r>
      <w:r w:rsidRPr="0588217F">
        <w:rPr>
          <w:rFonts w:eastAsia="Droid Sans"/>
          <w:i/>
          <w:iCs/>
          <w:color w:val="000000"/>
        </w:rPr>
        <w:t>“the alternative of maintaining references would present a problem for non-propagation specialists in identifying the correct version of the supporting recommendation to use (i.e. it is not always appropriate to use the latest version of a recommendation) and the correct equations.  The difficulty in using supporting recommendations being compounded by a number of issues, previously obscured by the division of the material into separate recommendations (both IS and P series)”.</w:t>
      </w:r>
    </w:p>
    <w:p w14:paraId="43EC54D5" w14:textId="77777777" w:rsidR="00B9168B" w:rsidRPr="00D71F93" w:rsidRDefault="00B9168B" w:rsidP="00B9168B">
      <w:pPr>
        <w:keepNext/>
        <w:tabs>
          <w:tab w:val="clear" w:pos="1134"/>
          <w:tab w:val="clear" w:pos="1871"/>
          <w:tab w:val="clear" w:pos="2268"/>
          <w:tab w:val="left" w:pos="720"/>
        </w:tabs>
        <w:suppressAutoHyphens/>
        <w:overflowPunct/>
        <w:autoSpaceDE/>
        <w:autoSpaceDN/>
        <w:adjustRightInd/>
        <w:textAlignment w:val="auto"/>
        <w:rPr>
          <w:rFonts w:eastAsia="Droid Sans"/>
          <w:color w:val="000000" w:themeColor="text1"/>
        </w:rPr>
      </w:pPr>
      <w:r w:rsidRPr="0588217F">
        <w:rPr>
          <w:rFonts w:eastAsia="Droid Sans"/>
          <w:color w:val="000000" w:themeColor="text1"/>
        </w:rPr>
        <w:t>Specific requirements included:</w:t>
      </w:r>
    </w:p>
    <w:p w14:paraId="5C7F488B" w14:textId="77777777" w:rsidR="00B9168B" w:rsidRPr="00D71F93" w:rsidRDefault="00B9168B" w:rsidP="00B9168B">
      <w:pPr>
        <w:pStyle w:val="enumlev1"/>
        <w:rPr>
          <w:rFonts w:eastAsia="Droid Sans"/>
        </w:rPr>
      </w:pPr>
      <w:r w:rsidRPr="00D71F93">
        <w:rPr>
          <w:rFonts w:eastAsia="Droid Sans"/>
        </w:rPr>
        <w:t>–</w:t>
      </w:r>
      <w:r w:rsidRPr="00D71F93">
        <w:rPr>
          <w:rFonts w:eastAsia="Droid Sans"/>
        </w:rPr>
        <w:tab/>
        <w:t>“</w:t>
      </w:r>
      <w:r w:rsidRPr="0588217F">
        <w:rPr>
          <w:rFonts w:eastAsia="Droid Sans"/>
          <w:i/>
          <w:iCs/>
        </w:rPr>
        <w:t>terms are defined before they are used</w:t>
      </w:r>
      <w:r w:rsidRPr="00D71F93">
        <w:rPr>
          <w:rFonts w:eastAsia="Droid Sans"/>
        </w:rPr>
        <w:t>”</w:t>
      </w:r>
    </w:p>
    <w:p w14:paraId="1A0EDC2F" w14:textId="77777777" w:rsidR="00B9168B" w:rsidRPr="00D71F93" w:rsidRDefault="00B9168B" w:rsidP="00B9168B">
      <w:pPr>
        <w:pStyle w:val="enumlev1"/>
        <w:rPr>
          <w:rFonts w:eastAsia="Droid Sans"/>
        </w:rPr>
      </w:pPr>
      <w:r w:rsidRPr="00D71F93">
        <w:rPr>
          <w:rFonts w:eastAsia="Droid Sans"/>
        </w:rPr>
        <w:t>–</w:t>
      </w:r>
      <w:r w:rsidRPr="00D71F93">
        <w:rPr>
          <w:rFonts w:eastAsia="Droid Sans"/>
        </w:rPr>
        <w:tab/>
        <w:t>“</w:t>
      </w:r>
      <w:r w:rsidRPr="0588217F">
        <w:rPr>
          <w:rFonts w:eastAsia="Droid Sans"/>
          <w:i/>
          <w:iCs/>
        </w:rPr>
        <w:t>headings should reflect the function performed under that heading/Annex/Appendix</w:t>
      </w:r>
      <w:r w:rsidRPr="00D71F93">
        <w:rPr>
          <w:rFonts w:eastAsia="Droid Sans"/>
        </w:rPr>
        <w:t>”</w:t>
      </w:r>
    </w:p>
    <w:p w14:paraId="4721A8D4" w14:textId="77777777" w:rsidR="00B9168B" w:rsidRPr="00D71F93" w:rsidRDefault="00B9168B" w:rsidP="00B9168B">
      <w:pPr>
        <w:tabs>
          <w:tab w:val="clear" w:pos="1134"/>
          <w:tab w:val="clear" w:pos="1871"/>
          <w:tab w:val="clear" w:pos="2268"/>
          <w:tab w:val="left" w:pos="720"/>
        </w:tabs>
        <w:suppressAutoHyphens/>
        <w:overflowPunct/>
        <w:autoSpaceDE/>
        <w:autoSpaceDN/>
        <w:adjustRightInd/>
        <w:textAlignment w:val="auto"/>
        <w:rPr>
          <w:szCs w:val="24"/>
        </w:rPr>
      </w:pPr>
      <w:r w:rsidRPr="0588217F">
        <w:rPr>
          <w:rFonts w:eastAsia="Droid Sans"/>
          <w:color w:val="000000" w:themeColor="text1"/>
        </w:rPr>
        <w:t>TG1/6 noted that “</w:t>
      </w:r>
      <w:r w:rsidRPr="0588217F">
        <w:rPr>
          <w:i/>
          <w:iCs/>
        </w:rPr>
        <w:t>terms and symbols in both the equations and the text must be consistent throughout the new document, including those brought in from the (currently) referenced Recommendations in the draft revision of Rec. ITU-R P.620-3”</w:t>
      </w:r>
      <w:r>
        <w:t xml:space="preserve"> and that they “</w:t>
      </w:r>
      <w:r w:rsidRPr="0588217F">
        <w:rPr>
          <w:rFonts w:eastAsia="Droid Sans"/>
          <w:i/>
          <w:iCs/>
          <w:color w:val="000000" w:themeColor="text1"/>
        </w:rPr>
        <w:t>had some difficulty in knowing whether the correct versions of equations have been brought in from these referenced texts</w:t>
      </w:r>
      <w:r w:rsidRPr="0588217F">
        <w:rPr>
          <w:rFonts w:eastAsia="Droid Sans"/>
          <w:color w:val="000000" w:themeColor="text1"/>
        </w:rPr>
        <w:t>”.</w:t>
      </w:r>
    </w:p>
    <w:p w14:paraId="715697DE" w14:textId="77777777" w:rsidR="00B9168B" w:rsidRPr="00D71F93" w:rsidRDefault="00B9168B" w:rsidP="00B9168B">
      <w:pPr>
        <w:rPr>
          <w:rFonts w:eastAsia="Droid Sans"/>
          <w:color w:val="000000" w:themeColor="text1"/>
        </w:rPr>
      </w:pPr>
      <w:r w:rsidRPr="0588217F">
        <w:rPr>
          <w:rFonts w:eastAsia="Droid Sans"/>
          <w:color w:val="000000" w:themeColor="text1"/>
        </w:rPr>
        <w:t>TG 1/6’s integration of all source texts into a single document required the following issues to be addressed:</w:t>
      </w:r>
    </w:p>
    <w:p w14:paraId="220D0B19" w14:textId="77777777" w:rsidR="00B9168B" w:rsidRPr="006D410C" w:rsidRDefault="00B9168B" w:rsidP="00B9168B">
      <w:pPr>
        <w:pStyle w:val="enumlev1"/>
        <w:rPr>
          <w:rFonts w:eastAsia="Droid Sans"/>
          <w:i/>
          <w:iCs/>
        </w:rPr>
      </w:pPr>
      <w:r w:rsidRPr="00D71F93">
        <w:rPr>
          <w:rFonts w:eastAsia="Droid Sans"/>
        </w:rPr>
        <w:t>–</w:t>
      </w:r>
      <w:r w:rsidRPr="00D71F93">
        <w:rPr>
          <w:rFonts w:eastAsia="Droid Sans"/>
        </w:rPr>
        <w:tab/>
        <w:t>“</w:t>
      </w:r>
      <w:r w:rsidRPr="0588217F">
        <w:rPr>
          <w:rFonts w:eastAsia="Droid Sans"/>
          <w:i/>
          <w:iCs/>
        </w:rPr>
        <w:t>variations</w:t>
      </w:r>
      <w:r w:rsidRPr="0588217F">
        <w:rPr>
          <w:rStyle w:val="FootnoteReference"/>
          <w:rFonts w:eastAsia="Droid Sans"/>
          <w:i/>
          <w:iCs/>
          <w:color w:val="000000"/>
        </w:rPr>
        <w:footnoteReference w:id="18"/>
      </w:r>
      <w:r w:rsidRPr="0588217F">
        <w:rPr>
          <w:rFonts w:eastAsia="Droid Sans"/>
          <w:i/>
          <w:iCs/>
        </w:rPr>
        <w:t xml:space="preserve"> in the definitions used for terms that are used in several of the component recommendations;</w:t>
      </w:r>
    </w:p>
    <w:p w14:paraId="696F83D7" w14:textId="77777777" w:rsidR="00B9168B" w:rsidRPr="006D410C" w:rsidRDefault="00B9168B" w:rsidP="00B9168B">
      <w:pPr>
        <w:pStyle w:val="enumlev1"/>
        <w:rPr>
          <w:rFonts w:eastAsia="Droid Sans"/>
          <w:i/>
          <w:iCs/>
        </w:rPr>
      </w:pPr>
      <w:r w:rsidRPr="0588217F">
        <w:rPr>
          <w:rFonts w:eastAsia="Droid Sans"/>
          <w:i/>
          <w:iCs/>
        </w:rPr>
        <w:lastRenderedPageBreak/>
        <w:t>–</w:t>
      </w:r>
      <w:r w:rsidRPr="006D410C">
        <w:rPr>
          <w:rFonts w:eastAsia="Droid Sans"/>
          <w:i/>
        </w:rPr>
        <w:tab/>
      </w:r>
      <w:r w:rsidRPr="0588217F">
        <w:rPr>
          <w:rFonts w:eastAsia="Droid Sans"/>
          <w:i/>
          <w:iCs/>
        </w:rPr>
        <w:t>the use of the same symbol to represent different terms and the use of different symbols to represent the same term in different recommendations;</w:t>
      </w:r>
    </w:p>
    <w:p w14:paraId="7621AD10" w14:textId="77777777" w:rsidR="00B9168B" w:rsidRPr="006D410C" w:rsidRDefault="00B9168B" w:rsidP="00B9168B">
      <w:pPr>
        <w:pStyle w:val="enumlev1"/>
        <w:rPr>
          <w:rFonts w:eastAsia="Droid Sans"/>
          <w:i/>
          <w:iCs/>
        </w:rPr>
      </w:pPr>
      <w:r w:rsidRPr="0588217F">
        <w:rPr>
          <w:rFonts w:eastAsia="Droid Sans"/>
          <w:i/>
          <w:iCs/>
        </w:rPr>
        <w:t>–</w:t>
      </w:r>
      <w:r w:rsidRPr="006D410C">
        <w:rPr>
          <w:rFonts w:eastAsia="Droid Sans"/>
          <w:i/>
        </w:rPr>
        <w:tab/>
      </w:r>
      <w:r w:rsidRPr="0588217F">
        <w:rPr>
          <w:rFonts w:eastAsia="Droid Sans"/>
          <w:i/>
          <w:iCs/>
        </w:rPr>
        <w:t>the number of propagation models required to cover the extended frequency range and the corresponding expansion of the propagation sections within the PDNR made it difficult to structure the methodologies on the interference scenarios and develop readable text (the interference scenarios have also been extended to include NGSO options in the bi-directional case);</w:t>
      </w:r>
    </w:p>
    <w:p w14:paraId="04F9367A" w14:textId="77777777" w:rsidR="00B9168B" w:rsidRPr="00D71F93" w:rsidRDefault="00B9168B" w:rsidP="00B9168B">
      <w:pPr>
        <w:pStyle w:val="enumlev1"/>
        <w:rPr>
          <w:rFonts w:eastAsia="Droid Sans"/>
        </w:rPr>
      </w:pPr>
      <w:r w:rsidRPr="0588217F">
        <w:rPr>
          <w:rFonts w:eastAsia="Droid Sans"/>
          <w:i/>
          <w:iCs/>
        </w:rPr>
        <w:t>–</w:t>
      </w:r>
      <w:r w:rsidRPr="006D410C">
        <w:rPr>
          <w:rFonts w:eastAsia="Droid Sans"/>
          <w:i/>
        </w:rPr>
        <w:tab/>
      </w:r>
      <w:r w:rsidRPr="0588217F">
        <w:rPr>
          <w:rFonts w:eastAsia="Droid Sans"/>
          <w:i/>
          <w:iCs/>
        </w:rPr>
        <w:t>the structure used for presenting equations made it difficult to determine if all the constituent elements had been included from supporting recommendations and in any computer code developed for determining the coordination distance</w:t>
      </w:r>
      <w:r w:rsidRPr="00D71F93">
        <w:rPr>
          <w:rFonts w:eastAsia="Droid Sans"/>
        </w:rPr>
        <w:t>”.</w:t>
      </w:r>
    </w:p>
    <w:p w14:paraId="67AB9CF1" w14:textId="77777777" w:rsidR="00B9168B" w:rsidRPr="00D71F93" w:rsidRDefault="00B9168B" w:rsidP="00B9168B">
      <w:pPr>
        <w:pStyle w:val="Heading4"/>
      </w:pPr>
      <w:bookmarkStart w:id="27" w:name="_Toc514255666"/>
      <w:bookmarkStart w:id="28" w:name="_Toc514259773"/>
      <w:r w:rsidRPr="00D71F93">
        <w:t>2.3.2.2</w:t>
      </w:r>
      <w:r w:rsidRPr="00D71F93">
        <w:tab/>
        <w:t xml:space="preserve">Merged propagation texts prepared by WP 3M </w:t>
      </w:r>
      <w:bookmarkEnd w:id="27"/>
      <w:bookmarkEnd w:id="28"/>
    </w:p>
    <w:p w14:paraId="3DB0B35A" w14:textId="77777777" w:rsidR="00B9168B" w:rsidRPr="00D71F93" w:rsidRDefault="00B9168B" w:rsidP="00B9168B">
      <w:pPr>
        <w:rPr>
          <w:i/>
          <w:iCs/>
        </w:rPr>
      </w:pPr>
      <w:r w:rsidRPr="00D71F93">
        <w:t>In response to TG</w:t>
      </w:r>
      <w:r>
        <w:t> </w:t>
      </w:r>
      <w:r w:rsidRPr="00D71F93">
        <w:t>1/6’s request WP</w:t>
      </w:r>
      <w:r>
        <w:t> </w:t>
      </w:r>
      <w:r w:rsidRPr="00D71F93">
        <w:t>3M produced an update</w:t>
      </w:r>
      <w:r w:rsidRPr="00D71F93">
        <w:rPr>
          <w:rStyle w:val="FootnoteReference"/>
        </w:rPr>
        <w:footnoteReference w:id="19"/>
      </w:r>
      <w:r w:rsidRPr="00D71F93">
        <w:t xml:space="preserve"> to the draft revision of Recommendation ITU-R P.620-3. The update noted the revised recommendation contained “</w:t>
      </w:r>
      <w:r w:rsidRPr="0588217F">
        <w:rPr>
          <w:i/>
          <w:iCs/>
        </w:rPr>
        <w:t xml:space="preserve">a substantial extension of frequency and percentage-time ranges, a major change of format and style” </w:t>
      </w:r>
      <w:r w:rsidRPr="00D71F93">
        <w:t>and</w:t>
      </w:r>
      <w:r w:rsidRPr="0588217F">
        <w:rPr>
          <w:i/>
          <w:iCs/>
        </w:rPr>
        <w:t xml:space="preserve"> “with the introduction of parameters before they are used in equations, etc</w:t>
      </w:r>
      <w:r w:rsidRPr="00D71F93">
        <w:t>.”  WP</w:t>
      </w:r>
      <w:r>
        <w:t> </w:t>
      </w:r>
      <w:r w:rsidRPr="00D71F93">
        <w:t>3M also noted that Recommendation</w:t>
      </w:r>
      <w:r w:rsidRPr="00897FB0">
        <w:rPr>
          <w:lang w:eastAsia="en-GB"/>
        </w:rPr>
        <w:t xml:space="preserve"> </w:t>
      </w:r>
      <w:r w:rsidRPr="00D71F93">
        <w:rPr>
          <w:lang w:eastAsia="en-GB"/>
        </w:rPr>
        <w:t>ITU-R</w:t>
      </w:r>
      <w:r w:rsidRPr="00D71F93">
        <w:t xml:space="preserve"> P.452 had been developed for the detailed assessment of signal levels for terrestrial stations within a coordination area contour calculated up to Recommendation </w:t>
      </w:r>
      <w:r w:rsidRPr="00D71F93">
        <w:rPr>
          <w:lang w:eastAsia="en-GB"/>
        </w:rPr>
        <w:t xml:space="preserve">ITU-R </w:t>
      </w:r>
      <w:r w:rsidRPr="00D71F93">
        <w:t>P.620-3. The draft revision of Recommendation</w:t>
      </w:r>
      <w:r>
        <w:t xml:space="preserve"> </w:t>
      </w:r>
      <w:r w:rsidRPr="00D71F93">
        <w:rPr>
          <w:lang w:eastAsia="en-GB"/>
        </w:rPr>
        <w:t>ITU-R</w:t>
      </w:r>
      <w:r w:rsidRPr="00D71F93">
        <w:t xml:space="preserve"> P.620-3 would therefore require further development of Recommendation </w:t>
      </w:r>
      <w:r w:rsidRPr="00D71F93">
        <w:rPr>
          <w:lang w:eastAsia="en-GB"/>
        </w:rPr>
        <w:t xml:space="preserve">ITU-R </w:t>
      </w:r>
      <w:r w:rsidRPr="00D71F93">
        <w:t xml:space="preserve">P.452 to keep it in step. Further that </w:t>
      </w:r>
      <w:r w:rsidRPr="0588217F">
        <w:rPr>
          <w:i/>
          <w:iCs/>
        </w:rPr>
        <w:t xml:space="preserve">"throughout the revision of Recommendation </w:t>
      </w:r>
      <w:r w:rsidRPr="0588217F">
        <w:rPr>
          <w:i/>
          <w:iCs/>
          <w:lang w:eastAsia="en-GB"/>
        </w:rPr>
        <w:t>ITU-R</w:t>
      </w:r>
      <w:r w:rsidRPr="00D71F93">
        <w:rPr>
          <w:lang w:eastAsia="en-GB"/>
        </w:rPr>
        <w:t xml:space="preserve"> </w:t>
      </w:r>
      <w:r w:rsidRPr="0588217F">
        <w:rPr>
          <w:i/>
          <w:iCs/>
        </w:rPr>
        <w:t>P.620, care has been taken to compare the results of the revision of the individual elements with that of the existing model where this was possible".</w:t>
      </w:r>
    </w:p>
    <w:p w14:paraId="3EDD4974" w14:textId="77777777" w:rsidR="00B9168B" w:rsidRPr="00D71F93" w:rsidRDefault="00B9168B" w:rsidP="00B9168B">
      <w:r>
        <w:t>The text provided by WP 3M included the following list of modifications.</w:t>
      </w:r>
    </w:p>
    <w:p w14:paraId="4A57C51A" w14:textId="77777777" w:rsidR="00B9168B" w:rsidRPr="00D71F93" w:rsidRDefault="00B9168B" w:rsidP="00B9168B">
      <w:pPr>
        <w:pStyle w:val="enumlev1"/>
      </w:pPr>
      <w:r w:rsidRPr="00D71F93">
        <w:t>–</w:t>
      </w:r>
      <w:r w:rsidRPr="00D71F93">
        <w:tab/>
        <w:t>“</w:t>
      </w:r>
      <w:r w:rsidRPr="0588217F">
        <w:rPr>
          <w:i/>
          <w:iCs/>
        </w:rPr>
        <w:t xml:space="preserve">The development of a revision of Appendix </w:t>
      </w:r>
      <w:r w:rsidRPr="0588217F">
        <w:rPr>
          <w:b/>
          <w:bCs/>
          <w:i/>
          <w:iCs/>
        </w:rPr>
        <w:t>S7</w:t>
      </w:r>
      <w:r w:rsidRPr="0588217F">
        <w:rPr>
          <w:i/>
          <w:iCs/>
        </w:rPr>
        <w:t xml:space="preserve"> was instrumental in the need to restructure the information in Recommendation </w:t>
      </w:r>
      <w:r w:rsidRPr="0588217F">
        <w:rPr>
          <w:i/>
          <w:iCs/>
          <w:lang w:eastAsia="en-GB"/>
        </w:rPr>
        <w:t>ITU-R</w:t>
      </w:r>
      <w:r w:rsidRPr="0588217F">
        <w:rPr>
          <w:i/>
          <w:iCs/>
        </w:rPr>
        <w:t xml:space="preserve"> P.620. Information required from other Recommendations has now been incorporated into the revised text to make it self-contained. A consequence of these changes was a rationalization of the symbols used.</w:t>
      </w:r>
      <w:r w:rsidRPr="00D71F93">
        <w:t>”</w:t>
      </w:r>
    </w:p>
    <w:p w14:paraId="243147BF" w14:textId="77777777" w:rsidR="00B9168B" w:rsidRPr="00D71F93" w:rsidRDefault="00B9168B" w:rsidP="00B9168B">
      <w:pPr>
        <w:pStyle w:val="enumlev1"/>
      </w:pPr>
      <w:r w:rsidRPr="00D71F93">
        <w:t>–</w:t>
      </w:r>
      <w:r w:rsidRPr="00D71F93">
        <w:tab/>
        <w:t>“</w:t>
      </w:r>
      <w:r w:rsidRPr="0588217F">
        <w:rPr>
          <w:i/>
          <w:iCs/>
        </w:rPr>
        <w:t xml:space="preserve">The minimum frequency has been extended downwards from 850 MHz to 100 MHz over land, warm seas and cold seas, and for percentages of time from 1% to 50%. This was achieved by developing equations based on Recommendation </w:t>
      </w:r>
      <w:r w:rsidRPr="0588217F">
        <w:rPr>
          <w:i/>
          <w:iCs/>
          <w:lang w:eastAsia="en-GB"/>
        </w:rPr>
        <w:t xml:space="preserve">ITU-R </w:t>
      </w:r>
      <w:r w:rsidRPr="0588217F">
        <w:rPr>
          <w:i/>
          <w:iCs/>
        </w:rPr>
        <w:t>P.370-7 curves.</w:t>
      </w:r>
      <w:r w:rsidRPr="00D71F93">
        <w:t>”</w:t>
      </w:r>
    </w:p>
    <w:p w14:paraId="119A20F0" w14:textId="77777777" w:rsidR="00B9168B" w:rsidRPr="00D71F93" w:rsidRDefault="00B9168B" w:rsidP="00B9168B">
      <w:pPr>
        <w:pStyle w:val="enumlev1"/>
      </w:pPr>
      <w:r w:rsidRPr="00D71F93">
        <w:t>–</w:t>
      </w:r>
      <w:r w:rsidRPr="00D71F93">
        <w:tab/>
        <w:t>“</w:t>
      </w:r>
      <w:r w:rsidRPr="0588217F">
        <w:rPr>
          <w:i/>
          <w:iCs/>
        </w:rPr>
        <w:t>The maximum percentage time in the frequency range 850 MHz to 60 GHz has been increased from 1% to 50%.</w:t>
      </w:r>
      <w:r w:rsidRPr="00D71F93">
        <w:t>”</w:t>
      </w:r>
    </w:p>
    <w:p w14:paraId="60EE53A7" w14:textId="77777777" w:rsidR="00B9168B" w:rsidRPr="00D71F93" w:rsidRDefault="00B9168B" w:rsidP="00B9168B">
      <w:pPr>
        <w:pStyle w:val="enumlev1"/>
      </w:pPr>
      <w:r w:rsidRPr="00D71F93">
        <w:t>–</w:t>
      </w:r>
      <w:r w:rsidRPr="00D71F93">
        <w:tab/>
        <w:t>“</w:t>
      </w:r>
      <w:r w:rsidRPr="0588217F">
        <w:rPr>
          <w:i/>
          <w:iCs/>
        </w:rPr>
        <w:t>The maximum frequency has been extended upwards from 60 GHz to 105 GHz for percentage times from 0.001% to 50%. The existing "simple" model was considered not adequate in some instances and it has been replaced by a model based on free-space loss with enhancements at small time percentages plus a conservative estimate of gaseous absorption.”</w:t>
      </w:r>
    </w:p>
    <w:p w14:paraId="320C1DE9" w14:textId="77777777" w:rsidR="00B9168B" w:rsidRPr="00D71F93" w:rsidRDefault="00B9168B" w:rsidP="00B9168B">
      <w:pPr>
        <w:pStyle w:val="enumlev1"/>
      </w:pPr>
      <w:r w:rsidRPr="00D71F93">
        <w:t>–</w:t>
      </w:r>
      <w:r w:rsidRPr="00D71F93">
        <w:tab/>
        <w:t>“</w:t>
      </w:r>
      <w:r w:rsidRPr="0588217F">
        <w:rPr>
          <w:i/>
          <w:iCs/>
        </w:rPr>
        <w:t xml:space="preserve">The site-shielding model has been extended to cover the complete frequency range of 100 MHz to 105 GHz and horizon distances from 0.5 km to 5.0 km. A small increase has </w:t>
      </w:r>
      <w:r w:rsidRPr="0588217F">
        <w:rPr>
          <w:i/>
          <w:iCs/>
        </w:rPr>
        <w:lastRenderedPageBreak/>
        <w:t>also been made to the maximum site-shielding value as a function of horizon elevation angle. During this process, further refinements were made to the site-shielding model</w:t>
      </w:r>
      <w:r w:rsidRPr="00D71F93">
        <w:t>.”</w:t>
      </w:r>
    </w:p>
    <w:p w14:paraId="15E4513C" w14:textId="77777777" w:rsidR="00B9168B" w:rsidRPr="00D71F93" w:rsidRDefault="00B9168B" w:rsidP="00B9168B">
      <w:pPr>
        <w:pStyle w:val="enumlev1"/>
      </w:pPr>
      <w:r w:rsidRPr="00D71F93">
        <w:t>–</w:t>
      </w:r>
      <w:r w:rsidRPr="00D71F93">
        <w:tab/>
        <w:t>“</w:t>
      </w:r>
      <w:r w:rsidRPr="0588217F">
        <w:rPr>
          <w:i/>
          <w:iCs/>
        </w:rPr>
        <w:t>A unified minimum coordination distance has been defined for the complete frequency range by a single group of equations. These exploit possibilities for reduced minimum coordination distances where this can be reliably supported by propagation considerations.</w:t>
      </w:r>
      <w:r w:rsidRPr="00D71F93">
        <w:t>”</w:t>
      </w:r>
    </w:p>
    <w:p w14:paraId="730D1940" w14:textId="77777777" w:rsidR="00B9168B" w:rsidRPr="00D71F93" w:rsidRDefault="00B9168B" w:rsidP="00B9168B">
      <w:pPr>
        <w:pStyle w:val="enumlev1"/>
      </w:pPr>
      <w:r w:rsidRPr="00D71F93">
        <w:t>–</w:t>
      </w:r>
      <w:r w:rsidRPr="00D71F93">
        <w:tab/>
        <w:t>“</w:t>
      </w:r>
      <w:r w:rsidRPr="0588217F">
        <w:rPr>
          <w:i/>
          <w:iCs/>
        </w:rPr>
        <w:t xml:space="preserve">It has been recognized that maximum distances are required for several purposes, not all of which relate to propagation issues. Within Recommendation </w:t>
      </w:r>
      <w:r w:rsidRPr="0588217F">
        <w:rPr>
          <w:i/>
          <w:iCs/>
          <w:lang w:eastAsia="en-GB"/>
        </w:rPr>
        <w:t xml:space="preserve">ITU-R </w:t>
      </w:r>
      <w:r w:rsidRPr="0588217F">
        <w:rPr>
          <w:i/>
          <w:iCs/>
        </w:rPr>
        <w:t>P.620, it is appropriate to contain only absolute limits for the iterative calculations used to obtain coordination distances.</w:t>
      </w:r>
      <w:r w:rsidRPr="00D71F93">
        <w:t>”</w:t>
      </w:r>
    </w:p>
    <w:p w14:paraId="588E9DC4" w14:textId="77777777" w:rsidR="00B9168B" w:rsidRPr="00D71F93" w:rsidRDefault="00B9168B" w:rsidP="00B9168B">
      <w:pPr>
        <w:pStyle w:val="enumlev1"/>
      </w:pPr>
      <w:r w:rsidRPr="00D71F93">
        <w:t>–</w:t>
      </w:r>
      <w:r w:rsidRPr="00D71F93">
        <w:tab/>
        <w:t>“</w:t>
      </w:r>
      <w:r w:rsidRPr="0588217F">
        <w:rPr>
          <w:i/>
          <w:iCs/>
        </w:rPr>
        <w:t>Equations are now included in the Recommendation giving an explicit value of mean rain height h</w:t>
      </w:r>
      <w:r w:rsidRPr="0588217F">
        <w:rPr>
          <w:i/>
          <w:iCs/>
          <w:vertAlign w:val="subscript"/>
        </w:rPr>
        <w:t>R</w:t>
      </w:r>
      <w:r w:rsidRPr="0588217F">
        <w:rPr>
          <w:i/>
          <w:iCs/>
        </w:rPr>
        <w:t xml:space="preserve"> for any location in the world.</w:t>
      </w:r>
      <w:r w:rsidRPr="00D71F93">
        <w:t>”</w:t>
      </w:r>
    </w:p>
    <w:p w14:paraId="7247493C" w14:textId="77777777" w:rsidR="00B9168B" w:rsidRPr="00D71F93" w:rsidRDefault="00B9168B" w:rsidP="00B9168B">
      <w:pPr>
        <w:pStyle w:val="enumlev1"/>
      </w:pPr>
      <w:r w:rsidRPr="00D71F93">
        <w:t>–</w:t>
      </w:r>
      <w:r w:rsidRPr="00D71F93">
        <w:tab/>
        <w:t>“</w:t>
      </w:r>
      <w:r w:rsidRPr="0588217F">
        <w:rPr>
          <w:i/>
          <w:iCs/>
        </w:rPr>
        <w:t>The maps of average surface refractivity N</w:t>
      </w:r>
      <w:r w:rsidRPr="0588217F">
        <w:rPr>
          <w:i/>
          <w:iCs/>
          <w:vertAlign w:val="subscript"/>
        </w:rPr>
        <w:t>o</w:t>
      </w:r>
      <w:r w:rsidRPr="0588217F">
        <w:rPr>
          <w:i/>
          <w:iCs/>
        </w:rPr>
        <w:t xml:space="preserve"> and vertical refractivity gradient </w:t>
      </w:r>
      <w:r w:rsidRPr="006D410C">
        <w:rPr>
          <w:i/>
        </w:rPr>
        <w:sym w:font="Symbol" w:char="F044"/>
      </w:r>
      <w:r w:rsidRPr="0588217F">
        <w:rPr>
          <w:i/>
          <w:iCs/>
        </w:rPr>
        <w:t>N have been replaced by functions of latitude.</w:t>
      </w:r>
      <w:r w:rsidRPr="00D71F93">
        <w:t>”</w:t>
      </w:r>
    </w:p>
    <w:p w14:paraId="33D16541" w14:textId="77777777" w:rsidR="00B9168B" w:rsidRPr="00D71F93" w:rsidRDefault="00B9168B" w:rsidP="00B9168B">
      <w:pPr>
        <w:pStyle w:val="enumlev1"/>
      </w:pPr>
      <w:r w:rsidRPr="00D71F93">
        <w:t>–</w:t>
      </w:r>
      <w:r w:rsidRPr="00D71F93">
        <w:tab/>
        <w:t>“</w:t>
      </w:r>
      <w:r w:rsidRPr="0588217F">
        <w:rPr>
          <w:i/>
          <w:iCs/>
        </w:rPr>
        <w:t xml:space="preserve">The allowance for additional distance-dependent and other losses </w:t>
      </w:r>
      <w:r w:rsidRPr="006D410C">
        <w:rPr>
          <w:i/>
        </w:rPr>
        <w:sym w:font="Symbol" w:char="F065"/>
      </w:r>
      <w:r w:rsidRPr="0588217F">
        <w:rPr>
          <w:i/>
          <w:iCs/>
        </w:rPr>
        <w:t xml:space="preserve"> has been fixed at the value 8.5.</w:t>
      </w:r>
      <w:r w:rsidRPr="00D71F93">
        <w:t>”</w:t>
      </w:r>
    </w:p>
    <w:p w14:paraId="03263C2B" w14:textId="77777777" w:rsidR="00B9168B" w:rsidRPr="00D71F93" w:rsidRDefault="00B9168B" w:rsidP="00B9168B">
      <w:pPr>
        <w:pStyle w:val="enumlev1"/>
      </w:pPr>
      <w:r w:rsidRPr="00D71F93">
        <w:t>–</w:t>
      </w:r>
      <w:r w:rsidRPr="00D71F93">
        <w:tab/>
        <w:t>“</w:t>
      </w:r>
      <w:r w:rsidRPr="0588217F">
        <w:rPr>
          <w:i/>
          <w:iCs/>
        </w:rPr>
        <w:t>Definitions have been provided for coastal and inland land (Zones A1 and A2 respectively) and cold and warm sea (Zones B and C respectively) in a rationalized arrangement.</w:t>
      </w:r>
      <w:r w:rsidRPr="00D71F93">
        <w:t>”</w:t>
      </w:r>
    </w:p>
    <w:p w14:paraId="6CDEF105" w14:textId="77777777" w:rsidR="00B9168B" w:rsidRPr="00D71F93" w:rsidRDefault="00B9168B" w:rsidP="00B9168B">
      <w:pPr>
        <w:pStyle w:val="enumlev1"/>
      </w:pPr>
      <w:r w:rsidRPr="00D71F93">
        <w:t>–</w:t>
      </w:r>
      <w:r w:rsidRPr="00D71F93">
        <w:tab/>
        <w:t>“</w:t>
      </w:r>
      <w:r w:rsidRPr="0588217F">
        <w:rPr>
          <w:i/>
          <w:iCs/>
        </w:rPr>
        <w:t xml:space="preserve">The refinement of the ducting model also incorporates some changes to </w:t>
      </w:r>
      <w:r w:rsidRPr="006D410C">
        <w:rPr>
          <w:i/>
        </w:rPr>
        <w:sym w:font="Symbol" w:char="F047"/>
      </w:r>
      <w:r w:rsidRPr="0588217F">
        <w:rPr>
          <w:i/>
          <w:iCs/>
        </w:rPr>
        <w:t xml:space="preserve"> (</w:t>
      </w:r>
      <w:r w:rsidRPr="006D410C">
        <w:rPr>
          <w:i/>
        </w:rPr>
        <w:sym w:font="Symbol" w:char="F047"/>
      </w:r>
      <w:r w:rsidRPr="0588217F">
        <w:rPr>
          <w:i/>
          <w:iCs/>
        </w:rPr>
        <w:t>1 in the new draft) to ensure that its numerical computation remains stable</w:t>
      </w:r>
      <w:r w:rsidRPr="00D71F93">
        <w:t>”.</w:t>
      </w:r>
    </w:p>
    <w:p w14:paraId="3FD13DE3" w14:textId="77777777" w:rsidR="00B9168B" w:rsidRPr="00D71F93" w:rsidRDefault="00B9168B" w:rsidP="00B9168B">
      <w:pPr>
        <w:rPr>
          <w:i/>
          <w:iCs/>
        </w:rPr>
      </w:pPr>
      <w:r>
        <w:t>WP 3M added the following points</w:t>
      </w:r>
      <w:r w:rsidRPr="0588217F">
        <w:rPr>
          <w:i/>
          <w:iCs/>
        </w:rPr>
        <w:t>.</w:t>
      </w:r>
    </w:p>
    <w:p w14:paraId="593FFB9D" w14:textId="77777777" w:rsidR="00B9168B" w:rsidRPr="00D71F93" w:rsidRDefault="00B9168B" w:rsidP="00B9168B">
      <w:pPr>
        <w:pStyle w:val="enumlev1"/>
      </w:pPr>
      <w:r w:rsidRPr="00D71F93">
        <w:t>–</w:t>
      </w:r>
      <w:r w:rsidRPr="00D71F93">
        <w:tab/>
        <w:t>“</w:t>
      </w:r>
      <w:r w:rsidRPr="0588217F">
        <w:rPr>
          <w:i/>
          <w:iCs/>
        </w:rPr>
        <w:t>As a result of the above, the method has a much wider range of applicability in frequency and time percentages. In addition, over-seas coordination distances are now considerably less than those obtained using the present Appendix S.7 to the Radio Regulations.</w:t>
      </w:r>
      <w:r w:rsidRPr="00D71F93">
        <w:t>”</w:t>
      </w:r>
    </w:p>
    <w:p w14:paraId="06A4A130" w14:textId="77777777" w:rsidR="00B9168B" w:rsidRPr="00D71F93" w:rsidRDefault="00B9168B" w:rsidP="00B9168B">
      <w:pPr>
        <w:pStyle w:val="enumlev1"/>
      </w:pPr>
      <w:r w:rsidRPr="00D71F93">
        <w:t>–</w:t>
      </w:r>
      <w:r w:rsidRPr="00D71F93">
        <w:tab/>
        <w:t>“</w:t>
      </w:r>
      <w:r w:rsidRPr="0588217F">
        <w:rPr>
          <w:i/>
          <w:iCs/>
        </w:rPr>
        <w:t xml:space="preserve">Consideration has been given to replacing the rain maps (imported from Recommendation </w:t>
      </w:r>
      <w:r w:rsidRPr="0588217F">
        <w:rPr>
          <w:i/>
          <w:iCs/>
          <w:lang w:eastAsia="en-GB"/>
        </w:rPr>
        <w:t xml:space="preserve">ITU-R </w:t>
      </w:r>
      <w:r w:rsidRPr="0588217F">
        <w:rPr>
          <w:i/>
          <w:iCs/>
        </w:rPr>
        <w:t xml:space="preserve">P.837) with digitized maps agreed at ... However, Recommendation </w:t>
      </w:r>
      <w:r w:rsidRPr="0588217F">
        <w:rPr>
          <w:i/>
          <w:iCs/>
          <w:lang w:eastAsia="en-GB"/>
        </w:rPr>
        <w:t xml:space="preserve">ITU-R </w:t>
      </w:r>
      <w:r w:rsidRPr="0588217F">
        <w:rPr>
          <w:i/>
          <w:iCs/>
        </w:rPr>
        <w:t>P.620 uses equations to represent sets of rain climate zones and it proved impracticable to modify the method to use digital rain maps.</w:t>
      </w:r>
      <w:r w:rsidRPr="00D71F93">
        <w:t>”</w:t>
      </w:r>
    </w:p>
    <w:p w14:paraId="74C8582B" w14:textId="77777777" w:rsidR="00B9168B" w:rsidRPr="00D71F93" w:rsidRDefault="00B9168B" w:rsidP="00B9168B">
      <w:pPr>
        <w:pStyle w:val="enumlev1"/>
      </w:pPr>
      <w:r w:rsidRPr="00243F58">
        <w:t>–</w:t>
      </w:r>
      <w:r w:rsidRPr="00243F58">
        <w:tab/>
        <w:t>“</w:t>
      </w:r>
      <w:r w:rsidRPr="00243F58">
        <w:rPr>
          <w:i/>
          <w:iCs/>
        </w:rPr>
        <w:t xml:space="preserve">It has proved necessary to use material from both Recommendation </w:t>
      </w:r>
      <w:r w:rsidRPr="00243F58">
        <w:rPr>
          <w:i/>
          <w:iCs/>
          <w:lang w:eastAsia="en-GB"/>
        </w:rPr>
        <w:t xml:space="preserve">ITU-R </w:t>
      </w:r>
      <w:r w:rsidRPr="00243F58">
        <w:rPr>
          <w:i/>
          <w:iCs/>
        </w:rPr>
        <w:t xml:space="preserve">P.676-2 and Recommendation </w:t>
      </w:r>
      <w:r w:rsidRPr="00243F58">
        <w:rPr>
          <w:i/>
          <w:iCs/>
          <w:lang w:eastAsia="en-GB"/>
        </w:rPr>
        <w:t xml:space="preserve">ITU-R </w:t>
      </w:r>
      <w:r w:rsidRPr="00243F58">
        <w:rPr>
          <w:i/>
          <w:iCs/>
        </w:rPr>
        <w:t xml:space="preserve">P.676-3 for evaluating gaseous absorption in different frequency ranges within the proposed revision of Recommendation </w:t>
      </w:r>
      <w:r w:rsidRPr="00243F58">
        <w:rPr>
          <w:i/>
          <w:iCs/>
          <w:lang w:eastAsia="en-GB"/>
        </w:rPr>
        <w:t xml:space="preserve">ITU-R </w:t>
      </w:r>
      <w:r w:rsidRPr="00243F58">
        <w:rPr>
          <w:i/>
          <w:iCs/>
        </w:rPr>
        <w:t>P.620 pending further work on the bridging function used in the vicinity of 60 GHz, bearing in mind the necessity for simplicity.</w:t>
      </w:r>
      <w:r w:rsidRPr="00243F58">
        <w:t>”</w:t>
      </w:r>
    </w:p>
    <w:p w14:paraId="44EB707E" w14:textId="77777777" w:rsidR="00B9168B" w:rsidRPr="00D71F93" w:rsidRDefault="00B9168B" w:rsidP="00B9168B">
      <w:pPr>
        <w:pStyle w:val="enumlev1"/>
      </w:pPr>
      <w:r w:rsidRPr="00D71F93">
        <w:t>–</w:t>
      </w:r>
      <w:r w:rsidRPr="00D71F93">
        <w:tab/>
        <w:t>“</w:t>
      </w:r>
      <w:r w:rsidRPr="0588217F">
        <w:rPr>
          <w:i/>
          <w:iCs/>
        </w:rPr>
        <w:t>The equations for conversion from worst-month to annual statistics, if required, have been rewritten in a more convenient form.</w:t>
      </w:r>
      <w:r w:rsidRPr="00D71F93">
        <w:t>”</w:t>
      </w:r>
    </w:p>
    <w:p w14:paraId="174769D1" w14:textId="77777777" w:rsidR="00B9168B" w:rsidRPr="00D71F93" w:rsidRDefault="00B9168B" w:rsidP="00B9168B">
      <w:pPr>
        <w:pStyle w:val="enumlev1"/>
        <w:rPr>
          <w:szCs w:val="24"/>
        </w:rPr>
      </w:pPr>
      <w:r w:rsidRPr="00D71F93">
        <w:t>–</w:t>
      </w:r>
      <w:r w:rsidRPr="00D71F93">
        <w:tab/>
        <w:t>“</w:t>
      </w:r>
      <w:r w:rsidRPr="0588217F">
        <w:rPr>
          <w:i/>
          <w:iCs/>
        </w:rPr>
        <w:t xml:space="preserve">It is intended that Recommendation </w:t>
      </w:r>
      <w:r w:rsidRPr="0588217F">
        <w:rPr>
          <w:i/>
          <w:iCs/>
          <w:lang w:eastAsia="en-GB"/>
        </w:rPr>
        <w:t xml:space="preserve">ITU-R </w:t>
      </w:r>
      <w:r w:rsidRPr="0588217F">
        <w:rPr>
          <w:i/>
          <w:iCs/>
        </w:rPr>
        <w:t>P.620 will be developed further as new information and changing service needs dictate. In this process, it is envisaged that the principle of having a complete text will revert to that of referencing Recommendations in the P-series (notably the radiometeorological Recommendations developed by WP 3J) until such time as a revised composite text is next required</w:t>
      </w:r>
      <w:r w:rsidRPr="00D71F93">
        <w:t>”.</w:t>
      </w:r>
    </w:p>
    <w:p w14:paraId="29B33AD0" w14:textId="77777777" w:rsidR="00B9168B" w:rsidRPr="00D71F93" w:rsidRDefault="00B9168B" w:rsidP="00B9168B">
      <w:pPr>
        <w:pStyle w:val="Heading2"/>
      </w:pPr>
      <w:bookmarkStart w:id="29" w:name="_Toc514255667"/>
      <w:bookmarkStart w:id="30" w:name="_Toc514259774"/>
      <w:r w:rsidRPr="00D71F93">
        <w:lastRenderedPageBreak/>
        <w:t>2.4</w:t>
      </w:r>
      <w:r w:rsidRPr="00D71F93">
        <w:tab/>
        <w:t>Differences between Recommendation ITU-R SM.1448 and the propagation text provided by WP</w:t>
      </w:r>
      <w:r>
        <w:t> </w:t>
      </w:r>
      <w:r w:rsidRPr="00D71F93">
        <w:t>3M</w:t>
      </w:r>
      <w:bookmarkEnd w:id="29"/>
      <w:bookmarkEnd w:id="30"/>
    </w:p>
    <w:p w14:paraId="5BE406C4" w14:textId="77777777" w:rsidR="00B9168B" w:rsidRPr="00D71F93" w:rsidRDefault="00B9168B" w:rsidP="00B9168B">
      <w:pPr>
        <w:rPr>
          <w:szCs w:val="24"/>
        </w:rPr>
      </w:pPr>
      <w:r>
        <w:t>The structure agreed by TG 1/6 for the PDNR (</w:t>
      </w:r>
      <w:r w:rsidRPr="0588217F">
        <w:rPr>
          <w:lang w:eastAsia="en-GB"/>
        </w:rPr>
        <w:t xml:space="preserve">ITU-R </w:t>
      </w:r>
      <w:r>
        <w:t xml:space="preserve">SM.1448) and the different elements it contained, including the correction factor, made it impossible to simply place the propagation text in self-contained annexes and required modifications to WP 3M’s source text.  </w:t>
      </w:r>
    </w:p>
    <w:p w14:paraId="55E478CD" w14:textId="0ABA5187" w:rsidR="00B9168B" w:rsidRPr="00D71F93" w:rsidRDefault="00B9168B" w:rsidP="00B9168B">
      <w:pPr>
        <w:rPr>
          <w:szCs w:val="24"/>
        </w:rPr>
      </w:pPr>
      <w:r>
        <w:t>The differences between the propagation elements of Recommendation ITU-R SM.1448 and the source text from Recommendation ITU-R P.620 (i.e. Document 1-6/61) fall into two categories; changes necessary to make the propagation text fit the methods and concepts of Recommendation ITU-R SM.1448 and changes necessary to provide the desired ease of use, and consistency of terms and symbols.</w:t>
      </w:r>
    </w:p>
    <w:p w14:paraId="38FB2405" w14:textId="77777777" w:rsidR="00B9168B" w:rsidRPr="00D71F93" w:rsidRDefault="00B9168B" w:rsidP="00B9168B">
      <w:pPr>
        <w:pStyle w:val="Heading3"/>
      </w:pPr>
      <w:bookmarkStart w:id="31" w:name="_Toc514255668"/>
      <w:bookmarkStart w:id="32" w:name="_Toc514259775"/>
      <w:r w:rsidRPr="00D71F93">
        <w:t>2.4.1</w:t>
      </w:r>
      <w:r w:rsidRPr="00D71F93">
        <w:tab/>
        <w:t xml:space="preserve">Modifications to the propagation text to merge with the </w:t>
      </w:r>
      <w:r w:rsidRPr="0588217F">
        <w:t>Recommendation ITU-R SM.1448 methodologies and concepts</w:t>
      </w:r>
      <w:bookmarkEnd w:id="31"/>
      <w:bookmarkEnd w:id="32"/>
    </w:p>
    <w:p w14:paraId="15A19B9A" w14:textId="77777777" w:rsidR="00B9168B" w:rsidRPr="00D71F93" w:rsidRDefault="00B9168B" w:rsidP="00B9168B">
      <w:r w:rsidRPr="00D71F93">
        <w:t>TG1/6 did not include all of the propagation material from Document 1/6-61 in its proposed DNR and provided WP 3M with the following comments</w:t>
      </w:r>
      <w:r w:rsidRPr="00D71F93">
        <w:rPr>
          <w:rStyle w:val="FootnoteReference"/>
        </w:rPr>
        <w:footnoteReference w:id="20"/>
      </w:r>
      <w:r w:rsidRPr="00D71F93">
        <w:t xml:space="preserve"> o</w:t>
      </w:r>
      <w:r>
        <w:t>n the merger of the two texts:</w:t>
      </w:r>
    </w:p>
    <w:p w14:paraId="73DB16DE" w14:textId="77777777" w:rsidR="00B9168B" w:rsidRPr="006D410C" w:rsidRDefault="00B9168B" w:rsidP="00B9168B">
      <w:pPr>
        <w:pStyle w:val="enumlev1"/>
        <w:rPr>
          <w:i/>
          <w:iCs/>
        </w:rPr>
      </w:pPr>
      <w:r w:rsidRPr="00D71F93">
        <w:t>–</w:t>
      </w:r>
      <w:r w:rsidRPr="00D71F93">
        <w:tab/>
        <w:t>“</w:t>
      </w:r>
      <w:r w:rsidRPr="0588217F">
        <w:rPr>
          <w:i/>
          <w:iCs/>
        </w:rPr>
        <w:t xml:space="preserve">For reasons of procedural simplification, and noting that the differences between “worst month” and “average year” coordination distances were small (see Doc. 1-6/73) and that inland distances were already being adjusted by the “z-factor” correction, TG 1/6 decided not to include the worst month conversions for propagation mode (1) and mode (2) offered in the revised Rec. </w:t>
      </w:r>
      <w:r w:rsidRPr="0588217F">
        <w:rPr>
          <w:i/>
          <w:iCs/>
          <w:lang w:eastAsia="en-GB"/>
        </w:rPr>
        <w:t xml:space="preserve">ITU-R </w:t>
      </w:r>
      <w:r w:rsidRPr="0588217F">
        <w:rPr>
          <w:i/>
          <w:iCs/>
        </w:rPr>
        <w:t>P.620.</w:t>
      </w:r>
    </w:p>
    <w:p w14:paraId="37093E22" w14:textId="77777777" w:rsidR="00B9168B" w:rsidRPr="006D410C" w:rsidRDefault="00B9168B" w:rsidP="00B9168B">
      <w:pPr>
        <w:pStyle w:val="enumlev1"/>
        <w:rPr>
          <w:i/>
          <w:iCs/>
        </w:rPr>
      </w:pPr>
      <w:r w:rsidRPr="0588217F">
        <w:rPr>
          <w:i/>
          <w:iCs/>
        </w:rPr>
        <w:t>–</w:t>
      </w:r>
      <w:r w:rsidRPr="006D410C">
        <w:rPr>
          <w:i/>
        </w:rPr>
        <w:tab/>
      </w:r>
      <w:r w:rsidRPr="0588217F">
        <w:rPr>
          <w:i/>
          <w:iCs/>
        </w:rPr>
        <w:t xml:space="preserve">TG 1/6 found one instance of incompatible logic between the text and the equations in section 2 of Appendix II to Annex 1 of Attachment 1 to Doc. 1-6/61. A solution has been developed for the TG 1/6 PDNR (by amending the text) so no urgent action is requested from WP 3M. The TG 1/6 DNR will be brought to the attention of WP 3M once it is completed so that the relevant changes could be considered for a future further revision of Rec. </w:t>
      </w:r>
      <w:r w:rsidRPr="0588217F">
        <w:rPr>
          <w:i/>
          <w:iCs/>
          <w:lang w:eastAsia="en-GB"/>
        </w:rPr>
        <w:t>ITU-R</w:t>
      </w:r>
      <w:r w:rsidRPr="0588217F">
        <w:rPr>
          <w:i/>
          <w:iCs/>
        </w:rPr>
        <w:t xml:space="preserve"> P.620.</w:t>
      </w:r>
    </w:p>
    <w:p w14:paraId="78A15F03" w14:textId="77777777" w:rsidR="00B9168B" w:rsidRPr="006D410C" w:rsidRDefault="00B9168B" w:rsidP="00B9168B">
      <w:pPr>
        <w:pStyle w:val="enumlev1"/>
        <w:rPr>
          <w:i/>
          <w:iCs/>
        </w:rPr>
      </w:pPr>
      <w:r w:rsidRPr="0588217F">
        <w:rPr>
          <w:i/>
          <w:iCs/>
        </w:rPr>
        <w:t>–</w:t>
      </w:r>
      <w:r w:rsidRPr="006D410C">
        <w:rPr>
          <w:i/>
        </w:rPr>
        <w:tab/>
      </w:r>
      <w:r w:rsidRPr="0588217F">
        <w:rPr>
          <w:i/>
          <w:iCs/>
        </w:rPr>
        <w:t xml:space="preserve">TG 1/6 found and resolved a number of other lesser issues of definition, clarity etc. within the propagation material within Doc. 1-6/61. These have been resolved by TG 1/6 with the help of colleagues from WP 3M, and WP 3M may wish to consider the resulting changes for a future revision of Rec. </w:t>
      </w:r>
      <w:r w:rsidRPr="0588217F">
        <w:rPr>
          <w:i/>
          <w:iCs/>
          <w:lang w:eastAsia="en-GB"/>
        </w:rPr>
        <w:t xml:space="preserve">ITU-R </w:t>
      </w:r>
      <w:r w:rsidRPr="0588217F">
        <w:rPr>
          <w:i/>
          <w:iCs/>
        </w:rPr>
        <w:t xml:space="preserve">P.620. </w:t>
      </w:r>
    </w:p>
    <w:p w14:paraId="61C6ECED" w14:textId="77777777" w:rsidR="00B9168B" w:rsidRPr="006D410C" w:rsidRDefault="00B9168B" w:rsidP="00B9168B">
      <w:pPr>
        <w:pStyle w:val="enumlev1"/>
        <w:rPr>
          <w:i/>
          <w:iCs/>
        </w:rPr>
      </w:pPr>
      <w:r w:rsidRPr="0588217F">
        <w:rPr>
          <w:i/>
          <w:iCs/>
        </w:rPr>
        <w:t>–</w:t>
      </w:r>
      <w:r w:rsidRPr="006D410C">
        <w:rPr>
          <w:i/>
        </w:rPr>
        <w:tab/>
      </w:r>
      <w:r w:rsidRPr="0588217F">
        <w:rPr>
          <w:i/>
          <w:iCs/>
        </w:rPr>
        <w:t xml:space="preserve">For reasons of continuity from earlier methods (App. </w:t>
      </w:r>
      <w:r w:rsidRPr="0588217F">
        <w:rPr>
          <w:b/>
          <w:bCs/>
          <w:i/>
          <w:iCs/>
        </w:rPr>
        <w:t xml:space="preserve">S7 </w:t>
      </w:r>
      <w:r w:rsidRPr="0588217F">
        <w:rPr>
          <w:i/>
          <w:iCs/>
        </w:rPr>
        <w:t xml:space="preserve">and Rec. </w:t>
      </w:r>
      <w:r w:rsidRPr="0588217F">
        <w:rPr>
          <w:i/>
          <w:iCs/>
          <w:lang w:eastAsia="en-GB"/>
        </w:rPr>
        <w:t xml:space="preserve">ITU-R </w:t>
      </w:r>
      <w:r w:rsidRPr="0588217F">
        <w:rPr>
          <w:i/>
          <w:iCs/>
        </w:rPr>
        <w:t xml:space="preserve">IS.847-1), to ensure adequate protection for very sensitive earth stations of the space science services operating at about 2.3 GHz and for regulatory convenience, TG1/6 adopted frequency limits of 1 GHz and 40.5 GHz for the range of applicability of the propagation mode(2) analysis. The additional material for Table III-3 of Rec. </w:t>
      </w:r>
      <w:r w:rsidRPr="0588217F">
        <w:rPr>
          <w:i/>
          <w:iCs/>
          <w:lang w:eastAsia="en-GB"/>
        </w:rPr>
        <w:t xml:space="preserve">ITU-R </w:t>
      </w:r>
      <w:r w:rsidRPr="0588217F">
        <w:rPr>
          <w:i/>
          <w:iCs/>
        </w:rPr>
        <w:t>P.620 for 1 GHz and 2 GHz was taken from the corresponding table in Recommendation ITU-R IS.847-1.</w:t>
      </w:r>
    </w:p>
    <w:p w14:paraId="277C1D3C" w14:textId="77777777" w:rsidR="00B9168B" w:rsidRPr="006D410C" w:rsidRDefault="00B9168B" w:rsidP="00B9168B">
      <w:pPr>
        <w:pStyle w:val="enumlev1"/>
        <w:rPr>
          <w:i/>
          <w:iCs/>
        </w:rPr>
      </w:pPr>
      <w:r w:rsidRPr="0588217F">
        <w:rPr>
          <w:i/>
          <w:iCs/>
        </w:rPr>
        <w:t>–</w:t>
      </w:r>
      <w:r w:rsidRPr="006D410C">
        <w:rPr>
          <w:i/>
        </w:rPr>
        <w:tab/>
      </w:r>
      <w:r w:rsidRPr="0588217F">
        <w:rPr>
          <w:i/>
          <w:iCs/>
        </w:rPr>
        <w:t xml:space="preserve">For regulatory convenience, TG 1/6 has changed the transition frequency between the mode (1) models of sections 2 and 3 of the revised Rec. </w:t>
      </w:r>
      <w:r w:rsidRPr="0588217F">
        <w:rPr>
          <w:i/>
          <w:iCs/>
          <w:lang w:eastAsia="en-GB"/>
        </w:rPr>
        <w:t xml:space="preserve">ITU-R </w:t>
      </w:r>
      <w:r w:rsidRPr="0588217F">
        <w:rPr>
          <w:i/>
          <w:iCs/>
        </w:rPr>
        <w:t>P.620. The frequency finally adopted was 790 MHz. This frequency is still within the known overlapping region of the applicable frequency ranges of the two models, and therefore it did not represent a technical problem.</w:t>
      </w:r>
    </w:p>
    <w:p w14:paraId="5F7A582B" w14:textId="77777777" w:rsidR="00B9168B" w:rsidRPr="006D410C" w:rsidRDefault="00B9168B" w:rsidP="00B9168B">
      <w:pPr>
        <w:pStyle w:val="enumlev1"/>
        <w:rPr>
          <w:i/>
          <w:iCs/>
        </w:rPr>
      </w:pPr>
      <w:r w:rsidRPr="0588217F">
        <w:rPr>
          <w:i/>
          <w:iCs/>
        </w:rPr>
        <w:lastRenderedPageBreak/>
        <w:t>–</w:t>
      </w:r>
      <w:r w:rsidRPr="006D410C">
        <w:rPr>
          <w:i/>
        </w:rPr>
        <w:tab/>
      </w:r>
      <w:r w:rsidRPr="0588217F">
        <w:rPr>
          <w:i/>
          <w:iCs/>
        </w:rPr>
        <w:t xml:space="preserve">The mode (2) maximum coordination distances in Table III-1 of Rec. </w:t>
      </w:r>
      <w:r w:rsidRPr="0588217F">
        <w:rPr>
          <w:i/>
          <w:iCs/>
          <w:lang w:eastAsia="en-GB"/>
        </w:rPr>
        <w:t xml:space="preserve">ITU-R </w:t>
      </w:r>
      <w:r w:rsidRPr="0588217F">
        <w:rPr>
          <w:i/>
          <w:iCs/>
        </w:rPr>
        <w:t xml:space="preserve">P.620 were replaced with a formula available within Rec. </w:t>
      </w:r>
      <w:r w:rsidRPr="0588217F">
        <w:rPr>
          <w:i/>
          <w:iCs/>
          <w:lang w:eastAsia="en-GB"/>
        </w:rPr>
        <w:t xml:space="preserve">ITU-R </w:t>
      </w:r>
      <w:r w:rsidRPr="0588217F">
        <w:rPr>
          <w:i/>
          <w:iCs/>
        </w:rPr>
        <w:t>IS.847-1 (eq. 41 of that document). This formula was found to offer better compatibility with the data for the mean rain height above ground (h</w:t>
      </w:r>
      <w:r w:rsidRPr="0588217F">
        <w:rPr>
          <w:i/>
          <w:iCs/>
          <w:vertAlign w:val="subscript"/>
        </w:rPr>
        <w:t>r</w:t>
      </w:r>
      <w:r w:rsidRPr="0588217F">
        <w:rPr>
          <w:i/>
          <w:iCs/>
        </w:rPr>
        <w:t xml:space="preserve">) in the revised Rec. </w:t>
      </w:r>
      <w:r w:rsidRPr="0588217F">
        <w:rPr>
          <w:i/>
          <w:iCs/>
          <w:lang w:eastAsia="en-GB"/>
        </w:rPr>
        <w:t xml:space="preserve">ITU-R </w:t>
      </w:r>
      <w:r w:rsidRPr="0588217F">
        <w:rPr>
          <w:i/>
          <w:iCs/>
        </w:rPr>
        <w:t>P.620.</w:t>
      </w:r>
    </w:p>
    <w:p w14:paraId="73954D7F" w14:textId="77777777" w:rsidR="00B9168B" w:rsidRPr="006D410C" w:rsidRDefault="00B9168B" w:rsidP="00B9168B">
      <w:pPr>
        <w:pStyle w:val="enumlev1"/>
        <w:rPr>
          <w:i/>
          <w:iCs/>
        </w:rPr>
      </w:pPr>
      <w:r w:rsidRPr="0588217F">
        <w:rPr>
          <w:i/>
          <w:iCs/>
        </w:rPr>
        <w:t>–</w:t>
      </w:r>
      <w:r w:rsidRPr="006D410C">
        <w:rPr>
          <w:i/>
        </w:rPr>
        <w:tab/>
      </w:r>
      <w:r w:rsidRPr="0588217F">
        <w:rPr>
          <w:i/>
          <w:iCs/>
        </w:rPr>
        <w:t>For information, WP 3M may wish to be aware that TG 1/6 included the method of providing maximum mode(1) coordination distance limits from section 3.3 of Rec. </w:t>
      </w:r>
      <w:r w:rsidRPr="0588217F">
        <w:rPr>
          <w:i/>
          <w:iCs/>
          <w:lang w:eastAsia="en-GB"/>
        </w:rPr>
        <w:t>ITU</w:t>
      </w:r>
      <w:r w:rsidRPr="006D410C">
        <w:rPr>
          <w:i/>
          <w:lang w:eastAsia="en-GB"/>
        </w:rPr>
        <w:noBreakHyphen/>
      </w:r>
      <w:r w:rsidRPr="0588217F">
        <w:rPr>
          <w:i/>
          <w:iCs/>
          <w:lang w:eastAsia="en-GB"/>
        </w:rPr>
        <w:t xml:space="preserve">R </w:t>
      </w:r>
      <w:r w:rsidRPr="0588217F">
        <w:rPr>
          <w:i/>
          <w:iCs/>
        </w:rPr>
        <w:t>IS.847</w:t>
      </w:r>
      <w:r w:rsidRPr="0588217F">
        <w:rPr>
          <w:i/>
          <w:iCs/>
        </w:rPr>
        <w:noBreakHyphen/>
        <w:t xml:space="preserve">1. However, the limit for inland distances was set at 375 km to ensure compatibility with the earlier App. </w:t>
      </w:r>
      <w:r w:rsidRPr="0588217F">
        <w:rPr>
          <w:b/>
          <w:bCs/>
          <w:i/>
          <w:iCs/>
        </w:rPr>
        <w:t>S7</w:t>
      </w:r>
      <w:r w:rsidRPr="0588217F">
        <w:rPr>
          <w:i/>
          <w:iCs/>
        </w:rPr>
        <w:t xml:space="preserve"> limits and the “z-factor” correction.</w:t>
      </w:r>
    </w:p>
    <w:p w14:paraId="41CB0636" w14:textId="77777777" w:rsidR="00B9168B" w:rsidRPr="00D71F93" w:rsidRDefault="00B9168B" w:rsidP="00B9168B">
      <w:pPr>
        <w:pStyle w:val="enumlev1"/>
      </w:pPr>
      <w:r w:rsidRPr="0588217F">
        <w:rPr>
          <w:i/>
          <w:iCs/>
        </w:rPr>
        <w:t>–</w:t>
      </w:r>
      <w:r w:rsidRPr="006D410C">
        <w:rPr>
          <w:i/>
        </w:rPr>
        <w:tab/>
      </w:r>
      <w:r w:rsidRPr="0588217F">
        <w:rPr>
          <w:i/>
          <w:iCs/>
        </w:rPr>
        <w:t>TG 1/6 had some difficulties in applying the existing propagation mode (2) information (originally developed for a limited range of frequency coordination scenarios), to the much broader range of coordination scenarios for earth stations operating to geostationary and non-geostationary satellites now covered by the TG 1/6 DNR. In particular, it was necessary to find a suitable solution to the propagation mode (2) requirements for earth stations operating to NGSO satellites. Because of the time varying gain of the earth station antenna in any given direction, mode (2) is deemed to represent a much-reduced problem in these cases; thus TG 1/6 believed that the minimum co-ordination distance represented adequate mode (2) protection</w:t>
      </w:r>
      <w:r w:rsidRPr="00D71F93">
        <w:t>”.</w:t>
      </w:r>
    </w:p>
    <w:p w14:paraId="24BA0FE0" w14:textId="77777777" w:rsidR="00B9168B" w:rsidRPr="00D71F93" w:rsidRDefault="00B9168B" w:rsidP="00B9168B">
      <w:r>
        <w:t>TG 1/6 stated “</w:t>
      </w:r>
      <w:r w:rsidRPr="0588217F">
        <w:rPr>
          <w:i/>
          <w:iCs/>
        </w:rPr>
        <w:t xml:space="preserve">as noted above, the propagation information within the TG 1/6 DNR is primarily sourced from the revised version of Rec. </w:t>
      </w:r>
      <w:r w:rsidRPr="0588217F">
        <w:rPr>
          <w:i/>
          <w:iCs/>
          <w:lang w:eastAsia="en-GB"/>
        </w:rPr>
        <w:t xml:space="preserve">ITU-R </w:t>
      </w:r>
      <w:r w:rsidRPr="0588217F">
        <w:rPr>
          <w:i/>
          <w:iCs/>
        </w:rPr>
        <w:t>P.620 provided by WP 3M in Doc. 1-6/61.”</w:t>
      </w:r>
      <w:r>
        <w:t xml:space="preserve"> TG 1/6 also reiterated that </w:t>
      </w:r>
      <w:r w:rsidRPr="0588217F">
        <w:rPr>
          <w:i/>
          <w:iCs/>
        </w:rPr>
        <w:t xml:space="preserve">“to ensure ongoing compatibility between the WP 3M material and the TG 1/6 DNR, and to ensure the latter’s operational integrity, it is essential to TG 1/6 that any future revision of the propagation material is based on a version of Rec. </w:t>
      </w:r>
      <w:r w:rsidRPr="0588217F">
        <w:rPr>
          <w:i/>
          <w:iCs/>
          <w:lang w:eastAsia="en-GB"/>
        </w:rPr>
        <w:t xml:space="preserve">ITU-R </w:t>
      </w:r>
      <w:r w:rsidRPr="0588217F">
        <w:rPr>
          <w:i/>
          <w:iCs/>
        </w:rPr>
        <w:t>P.620 that provides a single composite text with no external references</w:t>
      </w:r>
      <w:r>
        <w:t>”.</w:t>
      </w:r>
    </w:p>
    <w:p w14:paraId="10FFB814" w14:textId="77777777" w:rsidR="00B9168B" w:rsidRPr="00D71F93" w:rsidRDefault="00B9168B" w:rsidP="00B9168B">
      <w:r w:rsidRPr="00D71F93">
        <w:t>In addition to the above points a desire for “</w:t>
      </w:r>
      <w:r w:rsidRPr="0588217F">
        <w:rPr>
          <w:i/>
          <w:iCs/>
        </w:rPr>
        <w:t>defining an efficient calculation procedure</w:t>
      </w:r>
      <w:r w:rsidRPr="00D71F93">
        <w:t>” for propagation mode (2) auxiliary contours led to the rewriting of the source text taken from Recommendation ITU</w:t>
      </w:r>
      <w:r w:rsidRPr="00D71F93">
        <w:noBreakHyphen/>
        <w:t>R P.620-4. Although the revision finally adopted “</w:t>
      </w:r>
      <w:r w:rsidRPr="0588217F">
        <w:rPr>
          <w:i/>
          <w:iCs/>
        </w:rPr>
        <w:t>makes no change to the actual underlying method for calculating auxiliary mode (2) contours</w:t>
      </w:r>
      <w:r w:rsidRPr="00D71F93">
        <w:t>”</w:t>
      </w:r>
      <w:r w:rsidRPr="00D71F93">
        <w:rPr>
          <w:rStyle w:val="FootnoteReference"/>
        </w:rPr>
        <w:footnoteReference w:id="21"/>
      </w:r>
      <w:r w:rsidRPr="00D71F93">
        <w:t xml:space="preserve"> much of the text, including the description of the calculation procedure and diagram have been modified. </w:t>
      </w:r>
    </w:p>
    <w:p w14:paraId="3D45977B" w14:textId="77777777" w:rsidR="00B9168B" w:rsidRPr="00D71F93" w:rsidRDefault="00B9168B" w:rsidP="00B9168B">
      <w:pPr>
        <w:pStyle w:val="Heading3"/>
      </w:pPr>
      <w:bookmarkStart w:id="33" w:name="_Toc514255669"/>
      <w:bookmarkStart w:id="34" w:name="_Toc514259776"/>
      <w:r w:rsidRPr="00D71F93">
        <w:t>2.4.2</w:t>
      </w:r>
      <w:r w:rsidRPr="00D71F93">
        <w:tab/>
        <w:t>Editorial alignment</w:t>
      </w:r>
      <w:r>
        <w:t>s</w:t>
      </w:r>
      <w:r w:rsidRPr="00D71F93">
        <w:t xml:space="preserve"> to the propagation text</w:t>
      </w:r>
      <w:bookmarkEnd w:id="33"/>
      <w:bookmarkEnd w:id="34"/>
    </w:p>
    <w:p w14:paraId="31D116B6" w14:textId="77777777" w:rsidR="00B9168B" w:rsidRPr="00D71F93" w:rsidRDefault="00B9168B" w:rsidP="00B9168B">
      <w:r w:rsidRPr="00D71F93">
        <w:t>TG</w:t>
      </w:r>
      <w:r>
        <w:t> </w:t>
      </w:r>
      <w:r w:rsidRPr="00D71F93">
        <w:t>1/6 formed a drafting group at the second meeting (April 1998) to develop a framework for the PDNR and it then worked by correspondence to coordinate the writing of various sections of the draft final output document. The work of this group was subsequently extended to the final meeting (November 1999) to develop revisions to the draft text between TG</w:t>
      </w:r>
      <w:r>
        <w:t> </w:t>
      </w:r>
      <w:r w:rsidRPr="00D71F93">
        <w:t>1/6 meetings</w:t>
      </w:r>
      <w:r w:rsidRPr="00D71F93">
        <w:rPr>
          <w:rStyle w:val="FootnoteReference"/>
        </w:rPr>
        <w:footnoteReference w:id="22"/>
      </w:r>
      <w:r>
        <w:t>.</w:t>
      </w:r>
    </w:p>
    <w:p w14:paraId="3D611377" w14:textId="77777777" w:rsidR="00B9168B" w:rsidRPr="00D71F93" w:rsidRDefault="00B9168B" w:rsidP="00B9168B">
      <w:r w:rsidRPr="00D71F93">
        <w:t xml:space="preserve">Editorial alignment was considered any change not needing specific review by the drafting groups responsible for propagation or methodologies. In addition to addressing tasks on consistency of use </w:t>
      </w:r>
      <w:r w:rsidRPr="00D71F93">
        <w:lastRenderedPageBreak/>
        <w:t>of terms, examples and values, considerable changes</w:t>
      </w:r>
      <w:r>
        <w:rPr>
          <w:rStyle w:val="FootnoteReference"/>
        </w:rPr>
        <w:footnoteReference w:id="23"/>
      </w:r>
      <w:r>
        <w:t xml:space="preserve"> </w:t>
      </w:r>
      <w:r w:rsidRPr="00D71F93">
        <w:t>were made to the propagation texts ”</w:t>
      </w:r>
      <w:r w:rsidRPr="0588217F">
        <w:rPr>
          <w:i/>
          <w:iCs/>
        </w:rPr>
        <w:t>to make it compatible with system based texts”</w:t>
      </w:r>
      <w:r w:rsidRPr="00D71F93">
        <w:t xml:space="preserve"> and integration into the agreed PDNR structure. The changes included:</w:t>
      </w:r>
      <w:r w:rsidRPr="0588217F">
        <w:rPr>
          <w:b/>
          <w:bCs/>
          <w:i/>
          <w:iCs/>
        </w:rPr>
        <w:t xml:space="preserve"> </w:t>
      </w:r>
    </w:p>
    <w:p w14:paraId="5034A3C8" w14:textId="77777777" w:rsidR="00B9168B" w:rsidRPr="00D71F93" w:rsidRDefault="00B9168B" w:rsidP="00B9168B">
      <w:pPr>
        <w:pStyle w:val="enumlev1"/>
      </w:pPr>
      <w:r w:rsidRPr="00D71F93">
        <w:t>–</w:t>
      </w:r>
      <w:r w:rsidRPr="00D71F93">
        <w:tab/>
        <w:t>Relocating general descriptive elements of propagation texts within the PDNR (</w:t>
      </w:r>
      <w:r w:rsidRPr="00D71F93">
        <w:rPr>
          <w:lang w:eastAsia="en-GB"/>
        </w:rPr>
        <w:t xml:space="preserve">ITU-R </w:t>
      </w:r>
      <w:r w:rsidRPr="00D71F93">
        <w:t>SM.1448).</w:t>
      </w:r>
    </w:p>
    <w:p w14:paraId="0E7C0A8C" w14:textId="77777777" w:rsidR="00B9168B" w:rsidRPr="00D71F93" w:rsidRDefault="00B9168B" w:rsidP="00B9168B">
      <w:pPr>
        <w:pStyle w:val="enumlev1"/>
      </w:pPr>
      <w:r w:rsidRPr="00D71F93">
        <w:t>–</w:t>
      </w:r>
      <w:r w:rsidRPr="00D71F93">
        <w:tab/>
        <w:t>Merging propagation texts from Recommendation ITU-R IS.847-1 with Recommendation ITU-R P.620 (see § 2.4.1).</w:t>
      </w:r>
    </w:p>
    <w:p w14:paraId="47AD5CFF" w14:textId="0062BB96" w:rsidR="00B9168B" w:rsidRPr="00D71F93" w:rsidRDefault="00B9168B" w:rsidP="00B9168B">
      <w:pPr>
        <w:pStyle w:val="enumlev1"/>
      </w:pPr>
      <w:r w:rsidRPr="00D71F93">
        <w:t>–</w:t>
      </w:r>
      <w:r w:rsidRPr="00D71F93">
        <w:tab/>
        <w:t>Merging the Z factor used for correction of the propagation mode 1 required distance into the detailed iterative calculation procedures – i.e. adding new and modifying existing equations.</w:t>
      </w:r>
    </w:p>
    <w:p w14:paraId="60D58F0E" w14:textId="77777777" w:rsidR="00B9168B" w:rsidRPr="00D71F93" w:rsidRDefault="00B9168B" w:rsidP="00B9168B">
      <w:pPr>
        <w:pStyle w:val="enumlev1"/>
      </w:pPr>
      <w:r w:rsidRPr="00D71F93">
        <w:t>–</w:t>
      </w:r>
      <w:r w:rsidRPr="00D71F93">
        <w:tab/>
        <w:t>Adding equations for determining supplementary and auxiliary contours into the propagation mode 1 detailed iterative calculation procedures.</w:t>
      </w:r>
    </w:p>
    <w:p w14:paraId="7BDE05EA" w14:textId="77777777" w:rsidR="00B9168B" w:rsidRPr="00D71F93" w:rsidRDefault="00B9168B" w:rsidP="00B9168B">
      <w:pPr>
        <w:pStyle w:val="enumlev1"/>
      </w:pPr>
      <w:r w:rsidRPr="00D71F93">
        <w:t>–</w:t>
      </w:r>
      <w:r w:rsidRPr="00D71F93">
        <w:tab/>
        <w:t>Modifying equations to simplify series equation structures.</w:t>
      </w:r>
    </w:p>
    <w:p w14:paraId="0F95EF8D" w14:textId="77777777" w:rsidR="00B9168B" w:rsidRPr="00D71F93" w:rsidRDefault="00B9168B" w:rsidP="00B9168B">
      <w:pPr>
        <w:pStyle w:val="enumlev1"/>
      </w:pPr>
      <w:r w:rsidRPr="00D71F93">
        <w:t>–</w:t>
      </w:r>
      <w:r w:rsidRPr="00D71F93">
        <w:tab/>
        <w:t>Providing additional descriptive text and modifying/adding new references in the detailed propagation calculations.</w:t>
      </w:r>
    </w:p>
    <w:p w14:paraId="0613AC59" w14:textId="77777777" w:rsidR="00B9168B" w:rsidRPr="00D71F93" w:rsidRDefault="00B9168B" w:rsidP="00B9168B">
      <w:pPr>
        <w:pStyle w:val="enumlev1"/>
        <w:rPr>
          <w:bCs/>
        </w:rPr>
      </w:pPr>
      <w:r w:rsidRPr="0588217F">
        <w:rPr>
          <w:b/>
          <w:bCs/>
        </w:rPr>
        <w:t>–</w:t>
      </w:r>
      <w:r w:rsidRPr="00D71F93">
        <w:rPr>
          <w:b/>
        </w:rPr>
        <w:tab/>
      </w:r>
      <w:r w:rsidRPr="0588217F">
        <w:t>Developing a common terminology that avoided regulatory inaccuracies, with a rationalised set of symbols (symbol names, subscripts, use of italics, removal of primes to avoid confusion with mathematical operations, etc.) that maintained consistency with common system based symbols (Note: Recommendation ITU-R SM.1448 contains more than</w:t>
      </w:r>
      <w:r w:rsidRPr="0588217F">
        <w:rPr>
          <w:color w:val="000000" w:themeColor="text1"/>
        </w:rPr>
        <w:t xml:space="preserve"> 100 different symbols, where different terms may be identified by a symbol with or without subscript and/ or with or without argument)</w:t>
      </w:r>
      <w:r w:rsidRPr="0588217F">
        <w:t>.</w:t>
      </w:r>
    </w:p>
    <w:p w14:paraId="3BC787AE" w14:textId="6321E560" w:rsidR="00B9168B" w:rsidRPr="00D71F93" w:rsidRDefault="00B9168B" w:rsidP="00B9168B">
      <w:r>
        <w:t xml:space="preserve">To simplify the application of the recommendation and improve understanding, additional explanation as well as calculation elements for parts of the methods and concepts (e.g. auxiliary contours, supplementary contours, correction factor) were inserted into the relevant propagation Appendices in Annex 1 of Recommendation ITU-R SM.1448-0. </w:t>
      </w:r>
    </w:p>
    <w:p w14:paraId="70AD04A3" w14:textId="77777777" w:rsidR="00B9168B" w:rsidRPr="00D71F93" w:rsidRDefault="00B9168B" w:rsidP="00B9168B">
      <w:pPr>
        <w:pStyle w:val="Heading1"/>
      </w:pPr>
      <w:bookmarkStart w:id="39" w:name="_Toc514255670"/>
      <w:bookmarkStart w:id="40" w:name="_Toc514259777"/>
      <w:r w:rsidRPr="00D71F93">
        <w:t>3</w:t>
      </w:r>
      <w:r w:rsidRPr="00D71F93">
        <w:tab/>
        <w:t>Issues in the revision of recommendations supporting Appendix 7</w:t>
      </w:r>
      <w:bookmarkEnd w:id="39"/>
      <w:bookmarkEnd w:id="40"/>
    </w:p>
    <w:p w14:paraId="3897C6AB" w14:textId="77777777" w:rsidR="00B9168B" w:rsidRPr="00D71F93" w:rsidRDefault="00B9168B" w:rsidP="00B9168B">
      <w:pPr>
        <w:rPr>
          <w:szCs w:val="24"/>
        </w:rPr>
      </w:pPr>
      <w:r>
        <w:t>Working Party 1A (</w:t>
      </w:r>
      <w:r w:rsidRPr="00534847">
        <w:t>WP 1A) and SG 1</w:t>
      </w:r>
      <w:r>
        <w:t xml:space="preserve"> faced some significant issues in the review of Appendix</w:t>
      </w:r>
      <w:r w:rsidRPr="0588217F">
        <w:rPr>
          <w:b/>
          <w:bCs/>
        </w:rPr>
        <w:t xml:space="preserve"> 7</w:t>
      </w:r>
      <w:r>
        <w:t xml:space="preserve"> requested by WRC-95 during 1995-1997 (see Attachment 1). Those issues would also be valid for any partial or complete revision of Recommendation ITU-R SM.1448, particularly in relation to any revision of the propagation models. Some aspects may also be relevant for updates to the system parameter tables (see § 3.2, § 3.3 and § 3.7).</w:t>
      </w:r>
    </w:p>
    <w:p w14:paraId="31AD65DD" w14:textId="77777777" w:rsidR="00B9168B" w:rsidRPr="00D71F93" w:rsidRDefault="00B9168B" w:rsidP="00B9168B">
      <w:pPr>
        <w:pStyle w:val="Heading2"/>
        <w:rPr>
          <w:szCs w:val="24"/>
        </w:rPr>
      </w:pPr>
      <w:bookmarkStart w:id="41" w:name="_Toc514255671"/>
      <w:bookmarkStart w:id="42" w:name="_Toc514259778"/>
      <w:r w:rsidRPr="0588217F">
        <w:t>3.1</w:t>
      </w:r>
      <w:r w:rsidRPr="00D71F93">
        <w:rPr>
          <w:szCs w:val="24"/>
        </w:rPr>
        <w:tab/>
      </w:r>
      <w:r w:rsidRPr="0588217F">
        <w:t>Participation</w:t>
      </w:r>
      <w:bookmarkEnd w:id="41"/>
      <w:bookmarkEnd w:id="42"/>
    </w:p>
    <w:p w14:paraId="64299DA9" w14:textId="77777777" w:rsidR="00B9168B" w:rsidRPr="00D71F93" w:rsidRDefault="00B9168B" w:rsidP="00B9168B">
      <w:r>
        <w:t>SG 1 is the custodian of the IS series of recommendations that affect the work of other Study Groups. In the case of the determination of the coordination area around an Earth station, in addition to collaboration with SG 3, the work impacts</w:t>
      </w:r>
      <w:r w:rsidR="00897338">
        <w:t>,</w:t>
      </w:r>
      <w:r>
        <w:t xml:space="preserve"> for the year</w:t>
      </w:r>
      <w:r w:rsidR="00897338">
        <w:t>,</w:t>
      </w:r>
      <w:r>
        <w:t xml:space="preserve"> the work of one or more: </w:t>
      </w:r>
    </w:p>
    <w:p w14:paraId="2B923616" w14:textId="77777777" w:rsidR="00B9168B" w:rsidRPr="00D71F93" w:rsidRDefault="00B9168B" w:rsidP="00B9168B">
      <w:pPr>
        <w:pStyle w:val="enumlev1"/>
        <w:rPr>
          <w:szCs w:val="24"/>
        </w:rPr>
      </w:pPr>
      <w:r w:rsidRPr="0588217F">
        <w:t>–</w:t>
      </w:r>
      <w:r>
        <w:rPr>
          <w:szCs w:val="24"/>
        </w:rPr>
        <w:tab/>
      </w:r>
      <w:r w:rsidRPr="0588217F">
        <w:t>1995 – Working Parties in Study Groups 4, 7, 8, 9, 10 and 11;</w:t>
      </w:r>
    </w:p>
    <w:p w14:paraId="2331ADBB" w14:textId="77777777" w:rsidR="00B9168B" w:rsidRPr="00D71F93" w:rsidRDefault="00B9168B" w:rsidP="00B9168B">
      <w:pPr>
        <w:pStyle w:val="enumlev1"/>
        <w:rPr>
          <w:b/>
          <w:bCs/>
        </w:rPr>
      </w:pPr>
      <w:r w:rsidRPr="0588217F">
        <w:t>–</w:t>
      </w:r>
      <w:r>
        <w:rPr>
          <w:szCs w:val="24"/>
        </w:rPr>
        <w:tab/>
      </w:r>
      <w:r w:rsidRPr="0588217F">
        <w:t xml:space="preserve">2016 – Working Parties in Study Groups 4, 5, 6 and 7. </w:t>
      </w:r>
    </w:p>
    <w:p w14:paraId="43E29A34" w14:textId="77777777" w:rsidR="00B9168B" w:rsidRPr="00D71F93" w:rsidRDefault="00B9168B" w:rsidP="00B9168B">
      <w:r>
        <w:lastRenderedPageBreak/>
        <w:t xml:space="preserve">Participation in work for the revision of Appendix </w:t>
      </w:r>
      <w:r w:rsidRPr="0588217F">
        <w:rPr>
          <w:b/>
          <w:bCs/>
        </w:rPr>
        <w:t>28 (7)</w:t>
      </w:r>
      <w:r>
        <w:t xml:space="preserve"> was predominantly from outside SG 1 and trying to progress the activity through SG 1 Working Party meetings made it difficult to provide sufficient time dedicated to one issue to make their participation effective or economic. It was not until TG 1/6 was formed this problem was resolved. </w:t>
      </w:r>
    </w:p>
    <w:p w14:paraId="67428A5D" w14:textId="0FEAE528" w:rsidR="00B9168B" w:rsidRPr="00D71F93" w:rsidRDefault="00B9168B" w:rsidP="00B9168B">
      <w:r>
        <w:t xml:space="preserve">In the future the problem of participation may not be so easily resolved. When Recommendation ITU-R SM.1448 was developed, </w:t>
      </w:r>
      <w:r w:rsidRPr="00956205">
        <w:t xml:space="preserve">participants from fixed service operators made a significant contribution and without their efforts the recommendation may not have been developed.  At that time the ITU-R had a fixed service Study Group </w:t>
      </w:r>
      <w:r w:rsidR="00B734C5" w:rsidRPr="00956205">
        <w:t xml:space="preserve">(former SG 9) </w:t>
      </w:r>
      <w:r w:rsidRPr="00956205">
        <w:t>and a permanent Joint Working Party (</w:t>
      </w:r>
      <w:r w:rsidR="00B734C5" w:rsidRPr="00956205">
        <w:t>former WP </w:t>
      </w:r>
      <w:r w:rsidRPr="00956205">
        <w:t>4-9S) between the fixed</w:t>
      </w:r>
      <w:r>
        <w:t xml:space="preserve"> satellite service Study Group and the fixed service Study Group. Now (2017) the fixed service activities are combined within a single Working Party of a new Terrestrial Study Group and the number of fixed service participants in the ITU-R varies significantly with the WRC Agenda Items, yet fixed service operators remain influential within administrations. Further the fixed service is identified as sharing with Earth stations in most of the entries in Tables 7 </w:t>
      </w:r>
      <w:r w:rsidR="00CF7D2C">
        <w:t>and</w:t>
      </w:r>
      <w:r>
        <w:t xml:space="preserve"> 8 of Appendix </w:t>
      </w:r>
      <w:r w:rsidRPr="0588217F">
        <w:rPr>
          <w:b/>
          <w:bCs/>
        </w:rPr>
        <w:t>7</w:t>
      </w:r>
      <w:r>
        <w:t xml:space="preserve"> (</w:t>
      </w:r>
      <w:r w:rsidRPr="0588217F">
        <w:rPr>
          <w:b/>
          <w:bCs/>
        </w:rPr>
        <w:t>Rev.WRC-15</w:t>
      </w:r>
      <w:r>
        <w:t>).</w:t>
      </w:r>
    </w:p>
    <w:p w14:paraId="7EC30AF1" w14:textId="77777777" w:rsidR="00B9168B" w:rsidRPr="00D71F93" w:rsidRDefault="00B9168B" w:rsidP="00B9168B">
      <w:pPr>
        <w:pStyle w:val="Heading2"/>
        <w:rPr>
          <w:szCs w:val="24"/>
        </w:rPr>
      </w:pPr>
      <w:bookmarkStart w:id="43" w:name="_Toc514255672"/>
      <w:bookmarkStart w:id="44" w:name="_Toc514259779"/>
      <w:r w:rsidRPr="0588217F">
        <w:t>3.2</w:t>
      </w:r>
      <w:r w:rsidRPr="00D71F93">
        <w:rPr>
          <w:szCs w:val="24"/>
        </w:rPr>
        <w:tab/>
      </w:r>
      <w:r w:rsidRPr="0588217F">
        <w:t>Work Organisation</w:t>
      </w:r>
      <w:bookmarkEnd w:id="43"/>
      <w:bookmarkEnd w:id="44"/>
    </w:p>
    <w:p w14:paraId="1B87B4BE" w14:textId="27C2DDE7" w:rsidR="00B9168B" w:rsidRPr="00D71F93" w:rsidRDefault="00B9168B" w:rsidP="00B9168B">
      <w:pPr>
        <w:pStyle w:val="Reasons"/>
      </w:pPr>
      <w:r>
        <w:t xml:space="preserve">Revision of Recommendation ITU-R SM.1448 can involve consideration of many different elements (i.e. methods for the different sharing scenarios, system parameters, propagation models, correction factor) and other Working Parties may have considerable interest in any revision. A major aspect of the work in SG 1 therefore would be the management of the overall activity and assessing the relative benefits of managing the work within WP 1A or forming a Task Group to progress the work. Noting the results of the work can be very dependent on information and studies within the other Working Parties (see § 3.3). </w:t>
      </w:r>
    </w:p>
    <w:p w14:paraId="402D93CC" w14:textId="77777777" w:rsidR="00B9168B" w:rsidRPr="00D71F93" w:rsidRDefault="00B9168B" w:rsidP="00B9168B">
      <w:pPr>
        <w:pStyle w:val="Heading2"/>
        <w:keepLines w:val="0"/>
        <w:widowControl w:val="0"/>
        <w:rPr>
          <w:szCs w:val="24"/>
        </w:rPr>
      </w:pPr>
      <w:bookmarkStart w:id="45" w:name="_Toc514255673"/>
      <w:bookmarkStart w:id="46" w:name="_Toc514259780"/>
      <w:r w:rsidRPr="0588217F">
        <w:t>3.3</w:t>
      </w:r>
      <w:r w:rsidRPr="00D71F93">
        <w:rPr>
          <w:szCs w:val="24"/>
        </w:rPr>
        <w:tab/>
      </w:r>
      <w:r w:rsidRPr="0588217F">
        <w:t>Communication</w:t>
      </w:r>
      <w:bookmarkEnd w:id="45"/>
      <w:bookmarkEnd w:id="46"/>
    </w:p>
    <w:p w14:paraId="2F8BCA7C" w14:textId="77777777" w:rsidR="00B9168B" w:rsidRPr="00D71F93" w:rsidRDefault="00B9168B" w:rsidP="00B9168B">
      <w:pPr>
        <w:widowControl w:val="0"/>
        <w:tabs>
          <w:tab w:val="clear" w:pos="1134"/>
          <w:tab w:val="clear" w:pos="1871"/>
          <w:tab w:val="clear" w:pos="2268"/>
        </w:tabs>
        <w:rPr>
          <w:szCs w:val="24"/>
        </w:rPr>
      </w:pPr>
      <w:r w:rsidRPr="0588217F">
        <w:t>TG1/6 recognised</w:t>
      </w:r>
      <w:r w:rsidRPr="0588217F">
        <w:rPr>
          <w:rStyle w:val="FootnoteReference"/>
        </w:rPr>
        <w:footnoteReference w:id="24"/>
      </w:r>
      <w:r w:rsidRPr="0588217F">
        <w:t xml:space="preserve"> that to successfully meet its remit</w:t>
      </w:r>
      <w:r w:rsidRPr="0588217F">
        <w:rPr>
          <w:rStyle w:val="FootnoteReference"/>
        </w:rPr>
        <w:footnoteReference w:id="25"/>
      </w:r>
      <w:r w:rsidRPr="0588217F">
        <w:t xml:space="preserve"> it would be </w:t>
      </w:r>
      <w:r w:rsidRPr="00D71F93">
        <w:rPr>
          <w:color w:val="000000" w:themeColor="text1"/>
        </w:rPr>
        <w:t>highly dependent on close cooperation with other WPs and their contributions.  At the TG</w:t>
      </w:r>
      <w:r>
        <w:rPr>
          <w:color w:val="000000" w:themeColor="text1"/>
        </w:rPr>
        <w:t> </w:t>
      </w:r>
      <w:r w:rsidRPr="00D71F93">
        <w:rPr>
          <w:color w:val="000000" w:themeColor="text1"/>
        </w:rPr>
        <w:t xml:space="preserve">1/6’s first meeting, considerable effort </w:t>
      </w:r>
      <w:r w:rsidRPr="00D71F93">
        <w:rPr>
          <w:color w:val="000000" w:themeColor="text1"/>
        </w:rPr>
        <w:lastRenderedPageBreak/>
        <w:t xml:space="preserve">was devoted to identifying the appropriate </w:t>
      </w:r>
      <w:r w:rsidRPr="00D71F93">
        <w:t>Working Parties</w:t>
      </w:r>
      <w:r w:rsidRPr="00D71F93">
        <w:rPr>
          <w:color w:val="000000" w:themeColor="text1"/>
        </w:rPr>
        <w:t xml:space="preserve"> in which the work could be effectively carried out by the relevant experts </w:t>
      </w:r>
      <w:r w:rsidRPr="00D71F93">
        <w:t>(</w:t>
      </w:r>
      <w:r w:rsidRPr="0588217F">
        <w:t>nearly 50% of the input contributions to TG 1/6 were liaison statements from Working Parties in the service Study Groups and SG 3).</w:t>
      </w:r>
    </w:p>
    <w:p w14:paraId="20E3B491" w14:textId="77777777" w:rsidR="00B9168B" w:rsidRPr="00D71F93" w:rsidRDefault="00B9168B" w:rsidP="00B9168B">
      <w:r>
        <w:t>TG1/6 was aware of the risk of limited participation by other Study Groups (see Attachment 1). Also the impact on the development of comprehensive liaison statements, due to insufficient knowledge of system operations both to fully capture users concerns and provide them with information they required on the current state of studies. The limitation on knowledge making it difficult to provide Working Parties in SG 3 with consistent and detailed feedback for the revision of the propagation texts.</w:t>
      </w:r>
    </w:p>
    <w:p w14:paraId="5A92D705" w14:textId="77777777" w:rsidR="00B9168B" w:rsidRPr="00D71F93" w:rsidRDefault="00B9168B" w:rsidP="00B9168B">
      <w:pPr>
        <w:rPr>
          <w:szCs w:val="24"/>
        </w:rPr>
      </w:pPr>
      <w:r>
        <w:t>In TG 1/6 the quality of communication with the Working Parties in SG 3 (SG 3) also improved, substantially helped by a number of propagation experts from organisations providing fixed and satellite networks participating in both TG 1/6 and the SG 3 Working Parties – allowing the creation of more comprehensive liaison statements at both ends of the link with more detailed presentation and answers to questions in the terminology of the respective groups (see also § 3.2).</w:t>
      </w:r>
    </w:p>
    <w:p w14:paraId="4E4FCB6F" w14:textId="77777777" w:rsidR="00B9168B" w:rsidRPr="00D71F93" w:rsidRDefault="00B9168B" w:rsidP="00B9168B">
      <w:pPr>
        <w:pStyle w:val="Heading2"/>
        <w:rPr>
          <w:szCs w:val="24"/>
        </w:rPr>
      </w:pPr>
      <w:bookmarkStart w:id="47" w:name="_Toc514255674"/>
      <w:bookmarkStart w:id="48" w:name="_Toc514259781"/>
      <w:r w:rsidRPr="0588217F">
        <w:t>3.4</w:t>
      </w:r>
      <w:r w:rsidRPr="00D71F93">
        <w:rPr>
          <w:szCs w:val="24"/>
        </w:rPr>
        <w:tab/>
      </w:r>
      <w:r w:rsidRPr="0588217F">
        <w:t>Propagation Recommendations</w:t>
      </w:r>
      <w:bookmarkEnd w:id="47"/>
      <w:bookmarkEnd w:id="48"/>
    </w:p>
    <w:p w14:paraId="663C3B63" w14:textId="77777777" w:rsidR="00B9168B" w:rsidRPr="00D71F93" w:rsidRDefault="00B9168B" w:rsidP="00B9168B">
      <w:pPr>
        <w:pStyle w:val="Heading3"/>
        <w:rPr>
          <w:szCs w:val="24"/>
        </w:rPr>
      </w:pPr>
      <w:bookmarkStart w:id="49" w:name="_Toc514255675"/>
      <w:bookmarkStart w:id="50" w:name="_Toc514259782"/>
      <w:r w:rsidRPr="0588217F">
        <w:t>3.4.1</w:t>
      </w:r>
      <w:r w:rsidRPr="00D71F93">
        <w:rPr>
          <w:szCs w:val="24"/>
        </w:rPr>
        <w:tab/>
      </w:r>
      <w:r w:rsidRPr="0588217F">
        <w:t>Nature of the propagation model</w:t>
      </w:r>
      <w:bookmarkEnd w:id="49"/>
      <w:bookmarkEnd w:id="50"/>
    </w:p>
    <w:p w14:paraId="2FBF2B8B" w14:textId="77777777" w:rsidR="00B9168B" w:rsidRPr="00D71F93" w:rsidRDefault="00B9168B" w:rsidP="00B9168B">
      <w:pPr>
        <w:rPr>
          <w:szCs w:val="24"/>
        </w:rPr>
      </w:pPr>
      <w:r>
        <w:t xml:space="preserve">For the 1995 review of Appendix </w:t>
      </w:r>
      <w:r w:rsidRPr="0588217F">
        <w:rPr>
          <w:b/>
          <w:bCs/>
        </w:rPr>
        <w:t>28 (</w:t>
      </w:r>
      <w:r>
        <w:t>S</w:t>
      </w:r>
      <w:r w:rsidRPr="0588217F">
        <w:rPr>
          <w:b/>
          <w:bCs/>
        </w:rPr>
        <w:t>7)</w:t>
      </w:r>
      <w:r>
        <w:t xml:space="preserve"> SG3 had decided to make the propagation mode (1) model scientifically pure, removing an allowance previously built into the Appendix </w:t>
      </w:r>
      <w:r w:rsidRPr="0588217F">
        <w:rPr>
          <w:b/>
          <w:bCs/>
        </w:rPr>
        <w:t>28 (7)</w:t>
      </w:r>
      <w:r>
        <w:t xml:space="preserve"> propagation model that recognised all worst case factors were unlikely to occur simultaneously.  </w:t>
      </w:r>
    </w:p>
    <w:p w14:paraId="53F64086" w14:textId="77777777" w:rsidR="00B9168B" w:rsidRPr="00D71F93" w:rsidRDefault="00B9168B" w:rsidP="00B9168B">
      <w:pPr>
        <w:rPr>
          <w:szCs w:val="24"/>
        </w:rPr>
      </w:pPr>
      <w:r>
        <w:t xml:space="preserve">The impact of this change considerably extended the size of the propagation mode (1) contour frequently by a factor of 2 or more (see Attachment 1), thus increasing the coordination distance. </w:t>
      </w:r>
    </w:p>
    <w:p w14:paraId="29162408" w14:textId="77777777" w:rsidR="00B9168B" w:rsidRPr="00D71F93" w:rsidRDefault="00B9168B" w:rsidP="00B9168B">
      <w:pPr>
        <w:rPr>
          <w:szCs w:val="24"/>
        </w:rPr>
      </w:pPr>
      <w:r w:rsidRPr="0588217F">
        <w:t xml:space="preserve">Following the decision of WRC-97 to postpone revision of Appendix </w:t>
      </w:r>
      <w:r w:rsidRPr="0588217F">
        <w:rPr>
          <w:b/>
          <w:bCs/>
        </w:rPr>
        <w:t>28</w:t>
      </w:r>
      <w:r w:rsidRPr="0588217F">
        <w:t xml:space="preserve"> (</w:t>
      </w:r>
      <w:r w:rsidRPr="0588217F">
        <w:rPr>
          <w:b/>
          <w:bCs/>
        </w:rPr>
        <w:t>S7</w:t>
      </w:r>
      <w:r w:rsidRPr="0588217F">
        <w:t>) at WRC-97 until WRC</w:t>
      </w:r>
      <w:r w:rsidRPr="0588217F">
        <w:noBreakHyphen/>
        <w:t>99, a solution to this dilemma was required. The result was the identification</w:t>
      </w:r>
      <w:r w:rsidRPr="0588217F">
        <w:rPr>
          <w:rStyle w:val="FootnoteReference"/>
        </w:rPr>
        <w:footnoteReference w:id="26"/>
      </w:r>
      <w:r w:rsidRPr="0588217F">
        <w:t xml:space="preserve"> of “</w:t>
      </w:r>
      <w:r w:rsidRPr="0588217F">
        <w:rPr>
          <w:rFonts w:eastAsia="Droid Sans" w:cs="Arial"/>
          <w:i/>
          <w:iCs/>
          <w:color w:val="000000" w:themeColor="text1"/>
        </w:rPr>
        <w:t>the totality of propagation and non-propagation factors that contribute to the requirements for coordination distances</w:t>
      </w:r>
      <w:r w:rsidRPr="0588217F">
        <w:rPr>
          <w:rFonts w:eastAsia="Droid Sans" w:cs="Arial"/>
          <w:color w:val="000000" w:themeColor="text1"/>
        </w:rPr>
        <w:t>”. The Chairman of WP 3M noting that following this achievement WP 3M believed non-propagation factors</w:t>
      </w:r>
      <w:r w:rsidRPr="0588217F">
        <w:t xml:space="preserve"> could be “</w:t>
      </w:r>
      <w:r w:rsidRPr="0588217F">
        <w:rPr>
          <w:i/>
          <w:iCs/>
        </w:rPr>
        <w:t>treated appropriately within the overall co-ordination procedure, i.e. separately from the propagation calculation”</w:t>
      </w:r>
      <w:r w:rsidRPr="00D71F93">
        <w:rPr>
          <w:rStyle w:val="FootnoteReference"/>
        </w:rPr>
        <w:footnoteReference w:id="27"/>
      </w:r>
      <w:r w:rsidRPr="00D71F93">
        <w:t xml:space="preserve">. </w:t>
      </w:r>
    </w:p>
    <w:p w14:paraId="51710818" w14:textId="239A7091" w:rsidR="00B9168B" w:rsidRPr="00D71F93" w:rsidRDefault="00B9168B" w:rsidP="00B9168B">
      <w:pPr>
        <w:rPr>
          <w:i/>
          <w:iCs/>
        </w:rPr>
      </w:pPr>
      <w:r w:rsidRPr="0588217F">
        <w:t>WP 3M’s desire to exclude non-propagation factors from the propagation texts led to the correction factor’s development (see § 2.4 and § 3.5) and location within the ‘engineering’ sections of R</w:t>
      </w:r>
      <w:r w:rsidRPr="00D71F93">
        <w:t>ecommendation</w:t>
      </w:r>
      <w:r w:rsidRPr="0588217F">
        <w:t xml:space="preserve"> ITU-R SM.1448 and Appendix </w:t>
      </w:r>
      <w:r w:rsidRPr="0588217F">
        <w:rPr>
          <w:b/>
          <w:bCs/>
        </w:rPr>
        <w:t xml:space="preserve">7 </w:t>
      </w:r>
      <w:r w:rsidRPr="0588217F">
        <w:t>and the following explanation</w:t>
      </w:r>
      <w:r w:rsidRPr="0588217F">
        <w:rPr>
          <w:rStyle w:val="FootnoteReference"/>
        </w:rPr>
        <w:footnoteReference w:id="28"/>
      </w:r>
      <w:r w:rsidRPr="0588217F">
        <w:t xml:space="preserve"> “</w:t>
      </w:r>
      <w:r w:rsidRPr="0588217F">
        <w:rPr>
          <w:i/>
          <w:iCs/>
        </w:rPr>
        <w:t>The determination of the coordination area is based on unfavourable assumptions regarding system parameter values and interference path geometry. However, in certain circumstances, to assume that all the worst</w:t>
      </w:r>
      <w:r w:rsidR="00CF7D2C">
        <w:rPr>
          <w:i/>
          <w:iCs/>
        </w:rPr>
        <w:t xml:space="preserve"> </w:t>
      </w:r>
      <w:r w:rsidRPr="0588217F">
        <w:rPr>
          <w:i/>
          <w:iCs/>
        </w:rPr>
        <w:t>case</w:t>
      </w:r>
      <w:r w:rsidRPr="0588217F">
        <w:rPr>
          <w:i/>
          <w:iCs/>
        </w:rPr>
        <w:noBreakHyphen/>
        <w:t xml:space="preserve"> values will occur simultaneously is unrealistic, and leads to unnecessarily large values of minimum required loss. This could lead to unnecessarily large coordination areas. For propagation mode (1), detailed analyses, supported by extensive operational experience, have shown that </w:t>
      </w:r>
      <w:r w:rsidRPr="0588217F">
        <w:rPr>
          <w:i/>
          <w:iCs/>
        </w:rPr>
        <w:lastRenderedPageBreak/>
        <w:t>the requirement for the propagation mode (1) minimum required loss can be reduced because of the very small probability that the worst-case assumptions for system parameter values and interference path geometry will exist simultaneously. Therefore, a correction is applied within the calculation for the propagation mode (1) predicted path loss in the appropriate sharing scenario to allow benefit to be derived from these mitigating effects”.</w:t>
      </w:r>
    </w:p>
    <w:p w14:paraId="78505B9B" w14:textId="77777777" w:rsidR="00B9168B" w:rsidRPr="00D71F93" w:rsidRDefault="00B9168B" w:rsidP="00B9168B">
      <w:pPr>
        <w:pStyle w:val="Heading3"/>
        <w:rPr>
          <w:szCs w:val="24"/>
        </w:rPr>
      </w:pPr>
      <w:bookmarkStart w:id="51" w:name="_Toc514255676"/>
      <w:bookmarkStart w:id="52" w:name="_Toc514259783"/>
      <w:r w:rsidRPr="0588217F">
        <w:t>3.4.2</w:t>
      </w:r>
      <w:r w:rsidRPr="00D71F93">
        <w:rPr>
          <w:szCs w:val="24"/>
        </w:rPr>
        <w:tab/>
      </w:r>
      <w:r w:rsidRPr="0588217F">
        <w:t>Study Group 3 recommendations</w:t>
      </w:r>
      <w:bookmarkEnd w:id="51"/>
      <w:bookmarkEnd w:id="52"/>
    </w:p>
    <w:p w14:paraId="3DD72FD0" w14:textId="77777777" w:rsidR="00B9168B" w:rsidRPr="00D71F93" w:rsidRDefault="00B9168B" w:rsidP="00B9168B">
      <w:pPr>
        <w:rPr>
          <w:szCs w:val="24"/>
        </w:rPr>
      </w:pPr>
      <w:r>
        <w:t>In SG 3 recommendations there is a general tendency to cross reference elements of other SG 3 recommendations. For SG 3 this is a perfectly valid and reasonable approach, it avoids considerable duplication, the potential for an update not to be applied to all copies of a particular text and allows individual elements to be updated as studies progress.</w:t>
      </w:r>
    </w:p>
    <w:p w14:paraId="035204A0" w14:textId="77777777" w:rsidR="00B9168B" w:rsidRPr="00D71F93" w:rsidRDefault="00B9168B" w:rsidP="00B9168B">
      <w:pPr>
        <w:rPr>
          <w:szCs w:val="24"/>
        </w:rPr>
      </w:pPr>
      <w:r>
        <w:t xml:space="preserve">However, it means that to identify a particular element it may be necessary to follow cross-references through two, three or more recommendations possibly all updated in different time periods. This is a process that can be difficult for users not familiar with these recommendations that just want to follow a procedure not search multiple recommendations to </w:t>
      </w:r>
      <w:r w:rsidR="00EA567C">
        <w:t>identify the applicable parts.</w:t>
      </w:r>
    </w:p>
    <w:p w14:paraId="7C881B3A" w14:textId="77777777" w:rsidR="00B9168B" w:rsidRPr="00D71F93" w:rsidRDefault="00B9168B" w:rsidP="00B9168B">
      <w:pPr>
        <w:tabs>
          <w:tab w:val="clear" w:pos="1134"/>
          <w:tab w:val="clear" w:pos="1871"/>
          <w:tab w:val="clear" w:pos="2268"/>
          <w:tab w:val="left" w:pos="720"/>
        </w:tabs>
        <w:suppressAutoHyphens/>
        <w:overflowPunct/>
        <w:autoSpaceDE/>
        <w:autoSpaceDN/>
        <w:adjustRightInd/>
        <w:textAlignment w:val="auto"/>
        <w:rPr>
          <w:szCs w:val="24"/>
        </w:rPr>
      </w:pPr>
      <w:r w:rsidRPr="0588217F">
        <w:t xml:space="preserve">For text proposed to be included in the Radio Regulations this process was and still is unacceptable. Hence SG 3 was requested to develop a version of Recommendation ITU-R P.620 with a single comprehensive text containing all necessary propagation elements (see § 2.3.2.1). The resulting version (Recommendation ITU-R </w:t>
      </w:r>
      <w:r w:rsidR="00534847" w:rsidRPr="00D41033">
        <w:t>P.620-4</w:t>
      </w:r>
      <w:r w:rsidRPr="0588217F">
        <w:t xml:space="preserve">) was used as the </w:t>
      </w:r>
      <w:r w:rsidR="00E61256">
        <w:t>starting point</w:t>
      </w:r>
      <w:r w:rsidR="00E61256" w:rsidRPr="0588217F">
        <w:t xml:space="preserve"> </w:t>
      </w:r>
      <w:r w:rsidRPr="0588217F">
        <w:t>for the propagation text in Recommendation ITU-R SM.1448-0. A new single</w:t>
      </w:r>
      <w:r w:rsidRPr="0588217F">
        <w:rPr>
          <w:rStyle w:val="FootnoteReference"/>
        </w:rPr>
        <w:footnoteReference w:id="29"/>
      </w:r>
      <w:r w:rsidRPr="0588217F">
        <w:t xml:space="preserve"> comprehensive text would be necessary for any revision of the propagation model in Recommendation ITU-R SM.1448 or Appendix </w:t>
      </w:r>
      <w:r w:rsidRPr="0588217F">
        <w:rPr>
          <w:b/>
          <w:bCs/>
        </w:rPr>
        <w:t xml:space="preserve">7 </w:t>
      </w:r>
      <w:r w:rsidRPr="0588217F">
        <w:t>(see § 2.4).</w:t>
      </w:r>
    </w:p>
    <w:p w14:paraId="0C898D9E" w14:textId="77777777" w:rsidR="00B9168B" w:rsidRPr="00D71F93" w:rsidRDefault="00B9168B" w:rsidP="00B9168B">
      <w:pPr>
        <w:rPr>
          <w:szCs w:val="24"/>
        </w:rPr>
      </w:pPr>
      <w:r w:rsidRPr="0588217F">
        <w:rPr>
          <w:b/>
          <w:bCs/>
        </w:rPr>
        <w:t>NOTE</w:t>
      </w:r>
      <w:r>
        <w:t xml:space="preserve">: The propagation mode (1) and mode (2) text in Recommendation ITU-R SM.1448 is </w:t>
      </w:r>
      <w:r w:rsidRPr="0588217F">
        <w:rPr>
          <w:b/>
          <w:bCs/>
        </w:rPr>
        <w:t>NOT IDENTICAL</w:t>
      </w:r>
      <w:r>
        <w:t xml:space="preserve"> to Recommendation ITU-R P.620-4 (see § 2.4, § 2.4.1 and § 2.4.2).</w:t>
      </w:r>
    </w:p>
    <w:p w14:paraId="140A8F16" w14:textId="77777777" w:rsidR="00B9168B" w:rsidRPr="00D71F93" w:rsidRDefault="00B9168B" w:rsidP="00B9168B">
      <w:pPr>
        <w:pStyle w:val="Heading3"/>
        <w:rPr>
          <w:szCs w:val="24"/>
        </w:rPr>
      </w:pPr>
      <w:bookmarkStart w:id="53" w:name="_Toc514255677"/>
      <w:bookmarkStart w:id="54" w:name="_Toc514259784"/>
      <w:r w:rsidRPr="0588217F">
        <w:t>3.</w:t>
      </w:r>
      <w:r w:rsidRPr="00D71F93">
        <w:t>4.3</w:t>
      </w:r>
      <w:r w:rsidRPr="00D71F93">
        <w:tab/>
        <w:t>Study Group 3 terminology</w:t>
      </w:r>
      <w:r w:rsidRPr="0588217F">
        <w:rPr>
          <w:rStyle w:val="FootnoteReference"/>
        </w:rPr>
        <w:footnoteReference w:id="30"/>
      </w:r>
      <w:bookmarkEnd w:id="53"/>
      <w:bookmarkEnd w:id="54"/>
    </w:p>
    <w:p w14:paraId="74200AAB" w14:textId="77777777" w:rsidR="00B9168B" w:rsidRPr="00D71F93" w:rsidRDefault="00B9168B" w:rsidP="00B9168B">
      <w:pPr>
        <w:rPr>
          <w:szCs w:val="24"/>
        </w:rPr>
      </w:pPr>
      <w:r>
        <w:t xml:space="preserve">TG 1/6 participants from the service groups had difficulty with some SG 3 terms, especially for coordination and different types of loss.  A problem exacerbated by the compilation within Recommendation ITU-R P.620 of text from different recommendations that had variations in common terminology. </w:t>
      </w:r>
    </w:p>
    <w:p w14:paraId="0C462D7F" w14:textId="7AD3B119" w:rsidR="00B9168B" w:rsidRPr="00D71F93" w:rsidRDefault="00B9168B" w:rsidP="00B9168B">
      <w:pPr>
        <w:rPr>
          <w:szCs w:val="24"/>
        </w:rPr>
      </w:pPr>
      <w:r>
        <w:t xml:space="preserve">A particular concern was the issue of regulatory inaccuracy with Recommendation ITU-R P.620’s use of the terms coordination distance or coordination contour, and the tendency to equate them to the propagation mode (1) or mode (2) distance or contour and the iterative calculation of the coordination distance.  In the Radio Regulations the coordination distance terminates on the coordination </w:t>
      </w:r>
      <w:r>
        <w:lastRenderedPageBreak/>
        <w:t xml:space="preserve">contour and this contour is not necessarily specific to propagation mode (1) or mode (2). (i.e. the procedure contains both minimum and maximum coordination distance limits and the coordination distance can be the greater of the propagation mode (1) or mode (2) distances).  </w:t>
      </w:r>
    </w:p>
    <w:p w14:paraId="7B4C1FD9" w14:textId="77777777" w:rsidR="00B9168B" w:rsidRPr="00D71F93" w:rsidRDefault="00B9168B" w:rsidP="00B9168B">
      <w:pPr>
        <w:rPr>
          <w:szCs w:val="24"/>
        </w:rPr>
      </w:pPr>
      <w:r>
        <w:t xml:space="preserve">In Recommendation ITU-R SM.1448 and Appendix </w:t>
      </w:r>
      <w:r w:rsidRPr="0588217F">
        <w:rPr>
          <w:b/>
          <w:bCs/>
        </w:rPr>
        <w:t>7</w:t>
      </w:r>
      <w:r>
        <w:t xml:space="preserve"> the detailed propagation mode (1) calculations also include supplementary and auxiliary contours.  Hence, it was decided to harmonise the text from Recommendation ITU-R P.620 with the terminology in the rest of Recommendation ITU-R SM.1448. Some examples are shown below.  </w:t>
      </w:r>
    </w:p>
    <w:p w14:paraId="326EC94F" w14:textId="77777777" w:rsidR="00B9168B" w:rsidRPr="00D71F93" w:rsidRDefault="00B9168B" w:rsidP="00B9168B">
      <w:pPr>
        <w:spacing w:before="0"/>
        <w:rPr>
          <w:szCs w:val="24"/>
        </w:rPr>
      </w:pPr>
    </w:p>
    <w:tbl>
      <w:tblPr>
        <w:tblStyle w:val="TableGrid"/>
        <w:tblW w:w="0" w:type="auto"/>
        <w:tblLook w:val="04A0" w:firstRow="1" w:lastRow="0" w:firstColumn="1" w:lastColumn="0" w:noHBand="0" w:noVBand="1"/>
      </w:tblPr>
      <w:tblGrid>
        <w:gridCol w:w="4815"/>
        <w:gridCol w:w="4814"/>
      </w:tblGrid>
      <w:tr w:rsidR="00B9168B" w:rsidRPr="00D71F93" w14:paraId="621A7F39" w14:textId="77777777" w:rsidTr="00EF1725">
        <w:tc>
          <w:tcPr>
            <w:tcW w:w="4972" w:type="dxa"/>
          </w:tcPr>
          <w:p w14:paraId="5F2DB0BE" w14:textId="77777777" w:rsidR="00B9168B" w:rsidRPr="00D71F93" w:rsidRDefault="00B9168B" w:rsidP="00EF1725">
            <w:pPr>
              <w:pStyle w:val="Tablehead"/>
              <w:keepLines/>
            </w:pPr>
            <w:r>
              <w:t>Recommendation ITU-R SM.1448</w:t>
            </w:r>
          </w:p>
        </w:tc>
        <w:tc>
          <w:tcPr>
            <w:tcW w:w="4972" w:type="dxa"/>
          </w:tcPr>
          <w:p w14:paraId="76E24914" w14:textId="77777777" w:rsidR="00B9168B" w:rsidRPr="00D71F93" w:rsidRDefault="00B9168B" w:rsidP="00EF1725">
            <w:pPr>
              <w:pStyle w:val="Tablehead"/>
              <w:keepLines/>
            </w:pPr>
            <w:r>
              <w:t>Recommendation ITU-R P.620</w:t>
            </w:r>
          </w:p>
        </w:tc>
      </w:tr>
      <w:tr w:rsidR="00B9168B" w:rsidRPr="00D71F93" w14:paraId="4E800DA4" w14:textId="77777777" w:rsidTr="00EF1725">
        <w:tc>
          <w:tcPr>
            <w:tcW w:w="4972" w:type="dxa"/>
          </w:tcPr>
          <w:p w14:paraId="2D8F8A65" w14:textId="77777777" w:rsidR="00B9168B" w:rsidRPr="00D71F93" w:rsidRDefault="00B9168B" w:rsidP="00EF1725">
            <w:pPr>
              <w:pStyle w:val="Tabletext"/>
              <w:keepNext/>
              <w:keepLines/>
              <w:rPr>
                <w:szCs w:val="24"/>
              </w:rPr>
            </w:pPr>
            <w:r>
              <w:t>predicted path loss</w:t>
            </w:r>
          </w:p>
        </w:tc>
        <w:tc>
          <w:tcPr>
            <w:tcW w:w="4972" w:type="dxa"/>
          </w:tcPr>
          <w:p w14:paraId="76BD129D" w14:textId="77777777" w:rsidR="00B9168B" w:rsidRPr="00D71F93" w:rsidRDefault="00B9168B" w:rsidP="00EF1725">
            <w:pPr>
              <w:pStyle w:val="Tabletext"/>
              <w:keepNext/>
              <w:keepLines/>
              <w:rPr>
                <w:szCs w:val="24"/>
              </w:rPr>
            </w:pPr>
            <w:r>
              <w:t>transmission loss contributed by the propagation medium</w:t>
            </w:r>
          </w:p>
        </w:tc>
      </w:tr>
      <w:tr w:rsidR="00B9168B" w:rsidRPr="00D71F93" w14:paraId="4D6399F3" w14:textId="77777777" w:rsidTr="00EF1725">
        <w:tc>
          <w:tcPr>
            <w:tcW w:w="4972" w:type="dxa"/>
          </w:tcPr>
          <w:p w14:paraId="2198291E" w14:textId="77777777" w:rsidR="00B9168B" w:rsidRPr="00D71F93" w:rsidRDefault="00B9168B" w:rsidP="00EF1725">
            <w:pPr>
              <w:pStyle w:val="Tabletext"/>
              <w:keepNext/>
              <w:keepLines/>
              <w:rPr>
                <w:szCs w:val="24"/>
              </w:rPr>
            </w:pPr>
            <w:r>
              <w:t>minimum required loss</w:t>
            </w:r>
          </w:p>
        </w:tc>
        <w:tc>
          <w:tcPr>
            <w:tcW w:w="4972" w:type="dxa"/>
          </w:tcPr>
          <w:p w14:paraId="656E23E3" w14:textId="77777777" w:rsidR="00B9168B" w:rsidRPr="00D71F93" w:rsidRDefault="00B9168B" w:rsidP="00EF1725">
            <w:pPr>
              <w:pStyle w:val="Tabletext"/>
              <w:keepNext/>
              <w:keepLines/>
              <w:rPr>
                <w:szCs w:val="24"/>
              </w:rPr>
            </w:pPr>
            <w:r>
              <w:t>required transmission loss, minimum permissible basic transmission loss</w:t>
            </w:r>
          </w:p>
        </w:tc>
      </w:tr>
      <w:tr w:rsidR="00B9168B" w:rsidRPr="00D71F93" w14:paraId="298982B3" w14:textId="77777777" w:rsidTr="00EF1725">
        <w:tc>
          <w:tcPr>
            <w:tcW w:w="4972" w:type="dxa"/>
          </w:tcPr>
          <w:p w14:paraId="0115DAFE" w14:textId="77777777" w:rsidR="00B9168B" w:rsidRPr="00D71F93" w:rsidRDefault="00B9168B" w:rsidP="00EF1725">
            <w:pPr>
              <w:pStyle w:val="Tabletext"/>
              <w:keepNext/>
              <w:keepLines/>
              <w:rPr>
                <w:szCs w:val="24"/>
              </w:rPr>
            </w:pPr>
            <w:r>
              <w:t>required distance</w:t>
            </w:r>
          </w:p>
        </w:tc>
        <w:tc>
          <w:tcPr>
            <w:tcW w:w="4972" w:type="dxa"/>
          </w:tcPr>
          <w:p w14:paraId="3E7F0256" w14:textId="77777777" w:rsidR="00B9168B" w:rsidRPr="00D71F93" w:rsidRDefault="00B9168B" w:rsidP="00EF1725">
            <w:pPr>
              <w:pStyle w:val="Tabletext"/>
              <w:keepNext/>
              <w:keepLines/>
              <w:rPr>
                <w:szCs w:val="24"/>
              </w:rPr>
            </w:pPr>
            <w:r>
              <w:t>coordination distance, coordination contour</w:t>
            </w:r>
          </w:p>
        </w:tc>
      </w:tr>
      <w:tr w:rsidR="00B9168B" w:rsidRPr="00D71F93" w14:paraId="147DCFB7" w14:textId="77777777" w:rsidTr="00EF1725">
        <w:tc>
          <w:tcPr>
            <w:tcW w:w="4972" w:type="dxa"/>
          </w:tcPr>
          <w:p w14:paraId="1B67C9B9" w14:textId="77777777" w:rsidR="00B9168B" w:rsidRPr="00D71F93" w:rsidRDefault="00B9168B" w:rsidP="00EF1725">
            <w:pPr>
              <w:pStyle w:val="Tabletext"/>
              <w:keepNext/>
              <w:keepLines/>
              <w:rPr>
                <w:szCs w:val="24"/>
              </w:rPr>
            </w:pPr>
            <w:r>
              <w:t>propagation mode (2) contour</w:t>
            </w:r>
          </w:p>
        </w:tc>
        <w:tc>
          <w:tcPr>
            <w:tcW w:w="4972" w:type="dxa"/>
          </w:tcPr>
          <w:p w14:paraId="77B276A0" w14:textId="77777777" w:rsidR="00B9168B" w:rsidRPr="00D71F93" w:rsidRDefault="00B9168B" w:rsidP="00EF1725">
            <w:pPr>
              <w:pStyle w:val="Tabletext"/>
              <w:keepNext/>
              <w:keepLines/>
            </w:pPr>
            <w:r>
              <w:t>coordination contour for mode (2)</w:t>
            </w:r>
          </w:p>
        </w:tc>
      </w:tr>
    </w:tbl>
    <w:p w14:paraId="39964F10" w14:textId="77777777" w:rsidR="00B9168B" w:rsidRPr="00D71F93" w:rsidRDefault="00B9168B" w:rsidP="00B9168B">
      <w:pPr>
        <w:pStyle w:val="Tablefin"/>
      </w:pPr>
    </w:p>
    <w:p w14:paraId="5663D966" w14:textId="77777777" w:rsidR="00B9168B" w:rsidRPr="00D71F93" w:rsidRDefault="00B9168B" w:rsidP="00B9168B">
      <w:pPr>
        <w:pStyle w:val="Heading3"/>
        <w:rPr>
          <w:szCs w:val="24"/>
        </w:rPr>
      </w:pPr>
      <w:bookmarkStart w:id="55" w:name="_Toc514255678"/>
      <w:bookmarkStart w:id="56" w:name="_Toc514259785"/>
      <w:r w:rsidRPr="0588217F">
        <w:t>3.4.4</w:t>
      </w:r>
      <w:r w:rsidRPr="00D71F93">
        <w:rPr>
          <w:szCs w:val="24"/>
        </w:rPr>
        <w:tab/>
      </w:r>
      <w:r w:rsidRPr="0588217F">
        <w:t>Symbols</w:t>
      </w:r>
      <w:bookmarkEnd w:id="55"/>
      <w:bookmarkEnd w:id="56"/>
    </w:p>
    <w:p w14:paraId="4F980DEC" w14:textId="77777777" w:rsidR="00B9168B" w:rsidRPr="00D71F93" w:rsidRDefault="00B9168B" w:rsidP="00B9168B">
      <w:pPr>
        <w:rPr>
          <w:szCs w:val="24"/>
        </w:rPr>
      </w:pPr>
      <w:r>
        <w:t xml:space="preserve">Recommendation </w:t>
      </w:r>
      <w:r w:rsidR="00534847" w:rsidRPr="00D41033">
        <w:t>ITU-R SM.1448</w:t>
      </w:r>
      <w:r>
        <w:t xml:space="preserve"> contains a large number of parameters, in particular in the propagation models. It was noted that these symbols varied within the component recommendations of the propagation model with many not defined. Also that symbols commonly used by service groups and hence the end users of Appendix </w:t>
      </w:r>
      <w:r w:rsidRPr="0588217F">
        <w:rPr>
          <w:b/>
          <w:bCs/>
        </w:rPr>
        <w:t>28 (S7)</w:t>
      </w:r>
      <w:r>
        <w:t xml:space="preserve"> did not necessarily have the same meaning within the propagation recommendations. </w:t>
      </w:r>
    </w:p>
    <w:p w14:paraId="175AF7D8" w14:textId="00059743" w:rsidR="00B9168B" w:rsidRPr="00D71F93" w:rsidRDefault="00B9168B" w:rsidP="00B9168B">
      <w:pPr>
        <w:rPr>
          <w:szCs w:val="24"/>
        </w:rPr>
      </w:pPr>
      <w:r>
        <w:t>To resolve this difficulty some symbols used in Recommendation ITU-R P.620 were changed to align with the symbols used in the system texts (see § 2.4.2) and an extensive indexing of all symbols was developed for Recommendation ITU-R SM.1448. A separate symbol index for the propagation models is maintained by SG 3 within Recommendation ITU-R P.620. Maintenance of these indexes is advisable to avoid unnecessary confusion in the symbol meaning, as SG 3 have not necessarily aligned the use of symbols in later versions of Recommendation ITU-R P.620 with Recommendation ITU-R SM.1448.</w:t>
      </w:r>
    </w:p>
    <w:p w14:paraId="17E2DC88" w14:textId="77777777" w:rsidR="00B9168B" w:rsidRPr="00D71F93" w:rsidRDefault="00B9168B" w:rsidP="00B9168B">
      <w:pPr>
        <w:pStyle w:val="Heading3"/>
        <w:rPr>
          <w:szCs w:val="24"/>
        </w:rPr>
      </w:pPr>
      <w:bookmarkStart w:id="57" w:name="_Toc514255679"/>
      <w:bookmarkStart w:id="58" w:name="_Toc514259786"/>
      <w:r w:rsidRPr="0588217F">
        <w:t>3.4.5</w:t>
      </w:r>
      <w:r w:rsidRPr="00D71F93">
        <w:rPr>
          <w:szCs w:val="24"/>
        </w:rPr>
        <w:tab/>
      </w:r>
      <w:r w:rsidRPr="0588217F">
        <w:t>Reference data held in electronic form outside of the Recommendations</w:t>
      </w:r>
      <w:bookmarkEnd w:id="57"/>
      <w:bookmarkEnd w:id="58"/>
    </w:p>
    <w:p w14:paraId="753316AF" w14:textId="77777777" w:rsidR="00B9168B" w:rsidRPr="00D71F93" w:rsidRDefault="00B9168B" w:rsidP="00B9168B">
      <w:pPr>
        <w:rPr>
          <w:szCs w:val="24"/>
        </w:rPr>
      </w:pPr>
      <w:r>
        <w:t>TG 1/6 considered two options for including rain rate data in the PDNR (SM.1448), the existing rain map or an electronic format. However when it came to implementation, WP 3M found it impracticable to modify Recommendation ITU-R P.620 to use digital rain maps for TG 1/6’s PDNR (</w:t>
      </w:r>
      <w:r w:rsidRPr="0588217F">
        <w:rPr>
          <w:lang w:eastAsia="en-GB"/>
        </w:rPr>
        <w:t xml:space="preserve">ITU-R </w:t>
      </w:r>
      <w:r>
        <w:t>SM.1448) (see § 2.3.2.2). Although TG 1/6 had separately decided to retain the previously existing rain map due to concerns on data validation within the newer electronic file and the need to be able to lock the data between update periods for the regulatory text, which may be 20 or more years.</w:t>
      </w:r>
    </w:p>
    <w:p w14:paraId="43FA2A24" w14:textId="77777777" w:rsidR="00B9168B" w:rsidRPr="00D71F93" w:rsidRDefault="00B9168B" w:rsidP="00956205">
      <w:pPr>
        <w:rPr>
          <w:szCs w:val="24"/>
        </w:rPr>
      </w:pPr>
      <w:r>
        <w:t xml:space="preserve">Recommendation </w:t>
      </w:r>
      <w:r w:rsidR="00534847" w:rsidRPr="00D41033">
        <w:t>ITU-R P.620-6</w:t>
      </w:r>
      <w:r>
        <w:t xml:space="preserve">, references </w:t>
      </w:r>
      <w:r w:rsidR="00E61256">
        <w:t>other r</w:t>
      </w:r>
      <w:r>
        <w:t xml:space="preserve">ecommendations for water vapour density, rain rate, the specific attenuation due to rain and rain height reference data in electronic files, which may be in the form of a map. Where </w:t>
      </w:r>
      <w:r w:rsidR="00E61256">
        <w:t xml:space="preserve">associated reference </w:t>
      </w:r>
      <w:r>
        <w:t xml:space="preserve">data </w:t>
      </w:r>
      <w:r w:rsidR="00E61256">
        <w:t xml:space="preserve">tables are </w:t>
      </w:r>
      <w:r>
        <w:t xml:space="preserve">held in </w:t>
      </w:r>
      <w:r w:rsidR="00E61256">
        <w:t>electronic format</w:t>
      </w:r>
      <w:r>
        <w:t xml:space="preserve"> it is not known if this data is </w:t>
      </w:r>
      <w:r w:rsidRPr="0588217F">
        <w:rPr>
          <w:b/>
          <w:bCs/>
        </w:rPr>
        <w:t>locked</w:t>
      </w:r>
      <w:r>
        <w:t xml:space="preserve"> to a specific version of a recommendation or can be </w:t>
      </w:r>
      <w:r w:rsidRPr="0588217F">
        <w:rPr>
          <w:b/>
          <w:bCs/>
        </w:rPr>
        <w:t>revised between</w:t>
      </w:r>
      <w:r w:rsidR="00BF7863">
        <w:t xml:space="preserve"> recommendation versions.</w:t>
      </w:r>
    </w:p>
    <w:p w14:paraId="6F2F7693" w14:textId="77777777" w:rsidR="00B9168B" w:rsidRPr="00D71F93" w:rsidRDefault="00B9168B" w:rsidP="00B9168B">
      <w:pPr>
        <w:rPr>
          <w:szCs w:val="24"/>
        </w:rPr>
      </w:pPr>
      <w:r>
        <w:lastRenderedPageBreak/>
        <w:t xml:space="preserve">The latter case is not acceptable for regulatory text and could be a major problem for testing between the latest propagation model and the version in Appendix </w:t>
      </w:r>
      <w:r w:rsidRPr="0588217F">
        <w:rPr>
          <w:b/>
          <w:bCs/>
        </w:rPr>
        <w:t>7</w:t>
      </w:r>
      <w:r>
        <w:t>. Also it could be a problem for the control of the version of data to be used in testing by the Bureau and participants to any studies.</w:t>
      </w:r>
    </w:p>
    <w:p w14:paraId="0AE4DAE5" w14:textId="77777777" w:rsidR="00B9168B" w:rsidRPr="00D71F93" w:rsidRDefault="00B9168B" w:rsidP="00B9168B">
      <w:pPr>
        <w:pStyle w:val="Heading3"/>
        <w:rPr>
          <w:szCs w:val="24"/>
        </w:rPr>
      </w:pPr>
      <w:bookmarkStart w:id="59" w:name="_Toc514255680"/>
      <w:bookmarkStart w:id="60" w:name="_Toc514259787"/>
      <w:r w:rsidRPr="0588217F">
        <w:t>3.4.6</w:t>
      </w:r>
      <w:r w:rsidRPr="00D71F93">
        <w:rPr>
          <w:szCs w:val="24"/>
        </w:rPr>
        <w:tab/>
      </w:r>
      <w:r w:rsidRPr="0588217F">
        <w:t>Elements of the propagation model</w:t>
      </w:r>
      <w:bookmarkEnd w:id="59"/>
      <w:bookmarkEnd w:id="60"/>
    </w:p>
    <w:p w14:paraId="08AE2F7A" w14:textId="23BCB9FD" w:rsidR="00B9168B" w:rsidRPr="00D71F93" w:rsidRDefault="00B9168B" w:rsidP="00B9168B">
      <w:pPr>
        <w:rPr>
          <w:szCs w:val="24"/>
        </w:rPr>
      </w:pPr>
      <w:r>
        <w:t xml:space="preserve">SG 3 and the users of Appendix </w:t>
      </w:r>
      <w:r w:rsidRPr="0588217F">
        <w:rPr>
          <w:b/>
          <w:bCs/>
        </w:rPr>
        <w:t>7</w:t>
      </w:r>
      <w:r>
        <w:t xml:space="preserve">/Recommendation ITU-R SM.1448 may not always have the same understanding as to which elements form the overall complete propagation model (i.e. assumptions and mathematics only, or assumptions, mathematics and external reference data).  </w:t>
      </w:r>
    </w:p>
    <w:p w14:paraId="1D601C36" w14:textId="77777777" w:rsidR="00B9168B" w:rsidRPr="00D71F93" w:rsidRDefault="00B9168B" w:rsidP="00B9168B">
      <w:pPr>
        <w:rPr>
          <w:szCs w:val="24"/>
        </w:rPr>
      </w:pPr>
      <w:r>
        <w:t xml:space="preserve">The focus of the Appendix </w:t>
      </w:r>
      <w:r w:rsidRPr="0588217F">
        <w:rPr>
          <w:b/>
          <w:bCs/>
        </w:rPr>
        <w:t>7</w:t>
      </w:r>
      <w:r>
        <w:t>/Recommendation ITU-R SM.1448 users is always on the coordination distance and from that perspective the model will always comprise the assumptions, mathematics and reference data.</w:t>
      </w:r>
    </w:p>
    <w:p w14:paraId="0B2702A3" w14:textId="77777777" w:rsidR="00B9168B" w:rsidRPr="00D71F93" w:rsidRDefault="00B9168B" w:rsidP="00B9168B">
      <w:pPr>
        <w:rPr>
          <w:szCs w:val="24"/>
        </w:rPr>
      </w:pPr>
      <w:r>
        <w:t>Based on this understanding changes to reference data may be considered as revising the propagation model. In particular if changes in reference data have led to a revision of other aspects of the propagation model (see § 3.4.7). Changes to reference data also may have implications for the extent of testing required if there are conformity issues between test results based on different data sets.</w:t>
      </w:r>
    </w:p>
    <w:p w14:paraId="729CD179" w14:textId="77777777" w:rsidR="00B9168B" w:rsidRPr="00D71F93" w:rsidRDefault="00B9168B" w:rsidP="00B9168B">
      <w:pPr>
        <w:pStyle w:val="Heading3"/>
        <w:rPr>
          <w:szCs w:val="24"/>
        </w:rPr>
      </w:pPr>
      <w:bookmarkStart w:id="61" w:name="_Toc514255681"/>
      <w:bookmarkStart w:id="62" w:name="_Toc514259788"/>
      <w:r w:rsidRPr="0588217F">
        <w:t>3.4.7</w:t>
      </w:r>
      <w:r w:rsidRPr="00D71F93">
        <w:rPr>
          <w:szCs w:val="24"/>
        </w:rPr>
        <w:tab/>
      </w:r>
      <w:r w:rsidRPr="0588217F">
        <w:t>Model evolution</w:t>
      </w:r>
      <w:bookmarkEnd w:id="61"/>
      <w:bookmarkEnd w:id="62"/>
    </w:p>
    <w:p w14:paraId="051CF9E2" w14:textId="77777777" w:rsidR="00B9168B" w:rsidRPr="00D71F93" w:rsidRDefault="00B9168B" w:rsidP="00B9168B">
      <w:pPr>
        <w:rPr>
          <w:szCs w:val="24"/>
        </w:rPr>
      </w:pPr>
      <w:r>
        <w:t>Theoretical models are formed based on identified phenomena supported by measurements with mathematical modelling to best fit the observed data. Following the development of a new model it may be subject to rapid evolution depending on the extent of feedback provided on its performance. Modifications can arise from mathematical corrections ranging from simple errors to revised equations that better fit the existing data</w:t>
      </w:r>
      <w:r w:rsidR="00104896">
        <w:t>.</w:t>
      </w:r>
      <w:r>
        <w:t xml:space="preserve"> </w:t>
      </w:r>
      <w:r w:rsidR="00104896">
        <w:t>Modifications can also arise from</w:t>
      </w:r>
      <w:r>
        <w:t xml:space="preserve"> new measurement data affecting the modelling equations and/or any other reference data used by the model.</w:t>
      </w:r>
    </w:p>
    <w:p w14:paraId="43AB0E5F" w14:textId="77777777" w:rsidR="00B9168B" w:rsidRPr="00D71F93" w:rsidRDefault="00B9168B" w:rsidP="00B9168B">
      <w:pPr>
        <w:rPr>
          <w:szCs w:val="24"/>
        </w:rPr>
      </w:pPr>
      <w:r>
        <w:t>For a propagation model, it may be expected that updated information relating to factors like rainfall rates and water vapour density may be revised if new data shows there are changes occurring over a period of time. Similarly if there are new measurement campaigns in different areas of the World this may require update to the model or the reference data. A process that effectively keeps the propagation model up to date.</w:t>
      </w:r>
    </w:p>
    <w:p w14:paraId="14531FFE" w14:textId="77777777" w:rsidR="00B9168B" w:rsidRPr="00D71F93" w:rsidRDefault="00B9168B" w:rsidP="00B9168B">
      <w:pPr>
        <w:rPr>
          <w:szCs w:val="24"/>
        </w:rPr>
      </w:pPr>
      <w:r>
        <w:t xml:space="preserve">Statistics used by network operators on the other hand can vary depending on the service requirements and the level of interference they can accept, especially the number of outages. These statistics may cover many years, sometimes many decades and at this level new changes to propagation measurement </w:t>
      </w:r>
      <w:r w:rsidR="00BF7863">
        <w:t>data may or may not be visible.</w:t>
      </w:r>
    </w:p>
    <w:p w14:paraId="53FEFFB4" w14:textId="77777777" w:rsidR="00B9168B" w:rsidRPr="00D71F93" w:rsidRDefault="00B9168B" w:rsidP="00B9168B">
      <w:pPr>
        <w:pStyle w:val="Heading3"/>
        <w:rPr>
          <w:szCs w:val="24"/>
        </w:rPr>
      </w:pPr>
      <w:bookmarkStart w:id="63" w:name="_Toc514255682"/>
      <w:bookmarkStart w:id="64" w:name="_Toc514259789"/>
      <w:r w:rsidRPr="0588217F">
        <w:t>3.4.8</w:t>
      </w:r>
      <w:r w:rsidRPr="00D71F93">
        <w:rPr>
          <w:szCs w:val="24"/>
        </w:rPr>
        <w:tab/>
      </w:r>
      <w:r w:rsidRPr="0588217F">
        <w:t>Recommendation ITU-R P.620-4 propagation model(s)</w:t>
      </w:r>
      <w:bookmarkEnd w:id="63"/>
      <w:bookmarkEnd w:id="64"/>
    </w:p>
    <w:p w14:paraId="78A49193" w14:textId="77777777" w:rsidR="00B9168B" w:rsidRPr="00D71F93" w:rsidRDefault="00B9168B" w:rsidP="00B9168B">
      <w:pPr>
        <w:rPr>
          <w:szCs w:val="24"/>
        </w:rPr>
      </w:pPr>
      <w:r>
        <w:t>The extension of the frequency range from 1-40 GHz to 100 MHz – 105 GHz required an extension of the propagation model. For Recommendation ITU-R SM.1448-0, Appendix</w:t>
      </w:r>
      <w:r w:rsidRPr="0588217F">
        <w:rPr>
          <w:b/>
          <w:bCs/>
        </w:rPr>
        <w:t xml:space="preserve"> 7 </w:t>
      </w:r>
      <w:r>
        <w:t>and Recommendation ITU-R P.620-4 the propagation mode (1) model consists of three separate propagation models:</w:t>
      </w:r>
    </w:p>
    <w:p w14:paraId="5C71B7E6" w14:textId="77777777" w:rsidR="00B9168B" w:rsidRPr="00D71F93" w:rsidRDefault="00B9168B" w:rsidP="00B9168B">
      <w:pPr>
        <w:pStyle w:val="enumlev1"/>
        <w:rPr>
          <w:szCs w:val="24"/>
        </w:rPr>
      </w:pPr>
      <w:r w:rsidRPr="0588217F">
        <w:t>–</w:t>
      </w:r>
      <w:r w:rsidRPr="00D71F93">
        <w:rPr>
          <w:szCs w:val="24"/>
        </w:rPr>
        <w:tab/>
      </w:r>
      <w:r w:rsidRPr="0588217F">
        <w:t>For 100 MHz to 790 MHz and for time percentages from 1% to 50% of an average year: the propagation model is based on observational data and includes all of the propagation mode (1) mechanisms.</w:t>
      </w:r>
    </w:p>
    <w:p w14:paraId="11A8EA5E" w14:textId="77777777" w:rsidR="00B9168B" w:rsidRPr="00D71F93" w:rsidRDefault="00B9168B" w:rsidP="00B9168B">
      <w:pPr>
        <w:pStyle w:val="enumlev1"/>
        <w:rPr>
          <w:szCs w:val="24"/>
        </w:rPr>
      </w:pPr>
      <w:r w:rsidRPr="0588217F">
        <w:lastRenderedPageBreak/>
        <w:t>–</w:t>
      </w:r>
      <w:r w:rsidRPr="00D71F93">
        <w:rPr>
          <w:szCs w:val="24"/>
        </w:rPr>
        <w:tab/>
      </w:r>
      <w:r w:rsidRPr="0588217F">
        <w:t>From 790 MHz to 60 GHz and for time percentages from 0.001% to 50% of an average year: the propagation model takes account of tropospheric scatter, ducting and layer reflection/refraction. In this model, separate calculations are made for each of the propagation mode (1) mechanisms.</w:t>
      </w:r>
    </w:p>
    <w:p w14:paraId="1833DCA3" w14:textId="77777777" w:rsidR="00B9168B" w:rsidRPr="00D71F93" w:rsidRDefault="00B9168B" w:rsidP="00B9168B">
      <w:pPr>
        <w:pStyle w:val="enumlev1"/>
        <w:rPr>
          <w:szCs w:val="24"/>
        </w:rPr>
      </w:pPr>
      <w:r w:rsidRPr="0588217F">
        <w:t>–</w:t>
      </w:r>
      <w:r w:rsidRPr="00D71F93">
        <w:rPr>
          <w:szCs w:val="24"/>
        </w:rPr>
        <w:tab/>
      </w:r>
      <w:r w:rsidRPr="0588217F">
        <w:t>From 60 GHz to 105 GHz and for time percentages from 0.001% to 50% of an average year: the millimetric model is based upon free-space loss and a conservative estimate of gaseous absorption, plus an allowance for signal enhancements at small time percentages.</w:t>
      </w:r>
    </w:p>
    <w:p w14:paraId="18A40D71" w14:textId="77777777" w:rsidR="00B9168B" w:rsidRPr="00D71F93" w:rsidRDefault="00B9168B" w:rsidP="00B9168B">
      <w:pPr>
        <w:rPr>
          <w:szCs w:val="24"/>
        </w:rPr>
      </w:pPr>
      <w:r>
        <w:t xml:space="preserve">In the case of 100-790 MHz the model is based on Recommendation ITU-R P.370-7, which was suppressed on 22/10/01 (see CACE/233) and effectively replaced by Recommendation </w:t>
      </w:r>
      <w:r w:rsidR="00534847" w:rsidRPr="00D41033">
        <w:t>ITU-R P.1546</w:t>
      </w:r>
      <w:r>
        <w:t xml:space="preserve">. Although Recommendation ITU-R P.1546 was in development between 1997 and 2000, SG 3 did not consider the model subsequently used for that recommendation to be sufficiently stable to be used in a revision of Appendix </w:t>
      </w:r>
      <w:r w:rsidRPr="0588217F">
        <w:rPr>
          <w:b/>
          <w:bCs/>
        </w:rPr>
        <w:t>28 (</w:t>
      </w:r>
      <w:r>
        <w:t>S</w:t>
      </w:r>
      <w:r w:rsidRPr="0588217F">
        <w:rPr>
          <w:b/>
          <w:bCs/>
        </w:rPr>
        <w:t>7)</w:t>
      </w:r>
      <w:r>
        <w:t xml:space="preserve">. </w:t>
      </w:r>
    </w:p>
    <w:p w14:paraId="68A472AD" w14:textId="77777777" w:rsidR="00B9168B" w:rsidRPr="00D71F93" w:rsidRDefault="00B9168B" w:rsidP="00B9168B">
      <w:pPr>
        <w:rPr>
          <w:szCs w:val="24"/>
        </w:rPr>
      </w:pPr>
      <w:r>
        <w:t>Since the initial approval of Recommendation ITU-R P.1546 it has undergone significant rapid development, partly as a result of its use as the basis for the propagation model in the GE06 Regional Agreement.  If Recommendation ITU-R P.1546 is used as the basis for later versions of the Recommendation ITU-R P.620 propagation model, this will represent a change in the propagation mode (1) model that may require evaluation. Noting both the number of frequency bands allocated to satellite networks below 790 MHz and that the correction factor currently starts at 400 MHz.</w:t>
      </w:r>
    </w:p>
    <w:p w14:paraId="07D053C2" w14:textId="77777777" w:rsidR="00B9168B" w:rsidRPr="00D71F93" w:rsidRDefault="00B9168B" w:rsidP="00B9168B">
      <w:pPr>
        <w:rPr>
          <w:szCs w:val="24"/>
        </w:rPr>
      </w:pPr>
      <w:r>
        <w:t>The propagation mode (2) model is applied from 1 GHz to 40.5 GHz.</w:t>
      </w:r>
    </w:p>
    <w:p w14:paraId="5E29E515" w14:textId="77777777" w:rsidR="00B9168B" w:rsidRPr="00D71F93" w:rsidRDefault="00B9168B" w:rsidP="00B9168B">
      <w:pPr>
        <w:pStyle w:val="Heading3"/>
        <w:rPr>
          <w:szCs w:val="24"/>
        </w:rPr>
      </w:pPr>
      <w:bookmarkStart w:id="65" w:name="_Toc514255683"/>
      <w:bookmarkStart w:id="66" w:name="_Toc514259790"/>
      <w:r w:rsidRPr="0588217F">
        <w:t>3.4.9</w:t>
      </w:r>
      <w:r w:rsidRPr="00D71F93">
        <w:rPr>
          <w:szCs w:val="24"/>
        </w:rPr>
        <w:tab/>
      </w:r>
      <w:r w:rsidRPr="0588217F">
        <w:t>Compatibility</w:t>
      </w:r>
      <w:bookmarkEnd w:id="65"/>
      <w:bookmarkEnd w:id="66"/>
    </w:p>
    <w:p w14:paraId="08464BE5" w14:textId="77777777" w:rsidR="00B9168B" w:rsidRPr="00D71F93" w:rsidRDefault="00B9168B" w:rsidP="00B9168B">
      <w:pPr>
        <w:tabs>
          <w:tab w:val="clear" w:pos="1134"/>
          <w:tab w:val="clear" w:pos="1871"/>
          <w:tab w:val="clear" w:pos="2268"/>
          <w:tab w:val="left" w:pos="794"/>
          <w:tab w:val="left" w:pos="1191"/>
          <w:tab w:val="left" w:pos="1588"/>
          <w:tab w:val="left" w:pos="1985"/>
        </w:tabs>
        <w:rPr>
          <w:lang w:eastAsia="en-GB"/>
        </w:rPr>
      </w:pPr>
      <w:r w:rsidRPr="00D71F93">
        <w:rPr>
          <w:lang w:eastAsia="en-GB"/>
        </w:rPr>
        <w:t xml:space="preserve">In the calculation of coordination distance it is important that </w:t>
      </w:r>
      <w:r w:rsidRPr="0588217F">
        <w:rPr>
          <w:rFonts w:eastAsia="Droid Sans" w:cs="Arial"/>
          <w:color w:val="000000" w:themeColor="text1"/>
        </w:rPr>
        <w:t>the coordination distances yielded by Recommendation ITU</w:t>
      </w:r>
      <w:r w:rsidRPr="0588217F">
        <w:rPr>
          <w:rFonts w:eastAsia="Droid Sans" w:cs="Arial"/>
          <w:color w:val="000000" w:themeColor="text1"/>
        </w:rPr>
        <w:noBreakHyphen/>
        <w:t>R P.620 are compatible</w:t>
      </w:r>
      <w:r w:rsidRPr="00D71F93">
        <w:rPr>
          <w:rStyle w:val="FootnoteReference"/>
          <w:lang w:eastAsia="en-GB"/>
        </w:rPr>
        <w:footnoteReference w:id="31"/>
      </w:r>
      <w:r w:rsidRPr="0588217F">
        <w:rPr>
          <w:rFonts w:eastAsia="Droid Sans" w:cs="Arial"/>
          <w:color w:val="000000" w:themeColor="text1"/>
        </w:rPr>
        <w:t xml:space="preserve"> with any subsequent point-point calculations undertaken using Recommendation </w:t>
      </w:r>
      <w:r w:rsidRPr="00D71F93">
        <w:rPr>
          <w:lang w:eastAsia="en-GB"/>
        </w:rPr>
        <w:t xml:space="preserve">ITU-R </w:t>
      </w:r>
      <w:r w:rsidRPr="0588217F">
        <w:rPr>
          <w:rFonts w:eastAsia="Droid Sans" w:cs="Arial"/>
          <w:color w:val="000000" w:themeColor="text1"/>
        </w:rPr>
        <w:t>P.452. Any revision of Recommendation ITU</w:t>
      </w:r>
      <w:r w:rsidRPr="0588217F">
        <w:rPr>
          <w:rFonts w:eastAsia="Droid Sans" w:cs="Arial"/>
          <w:color w:val="000000" w:themeColor="text1"/>
        </w:rPr>
        <w:noBreakHyphen/>
        <w:t>R P.620 should therefore ensure</w:t>
      </w:r>
      <w:r w:rsidRPr="0588217F">
        <w:rPr>
          <w:rStyle w:val="FootnoteReference"/>
          <w:rFonts w:eastAsia="Droid Sans" w:cs="Arial"/>
          <w:color w:val="000000" w:themeColor="text1"/>
        </w:rPr>
        <w:footnoteReference w:id="32"/>
      </w:r>
      <w:r w:rsidRPr="0588217F">
        <w:rPr>
          <w:rFonts w:eastAsia="Droid Sans" w:cs="Arial"/>
          <w:color w:val="000000" w:themeColor="text1"/>
        </w:rPr>
        <w:t xml:space="preserve"> that this compatibility is maintained.</w:t>
      </w:r>
      <w:r w:rsidRPr="00D71F93">
        <w:rPr>
          <w:lang w:eastAsia="en-GB"/>
        </w:rPr>
        <w:t xml:space="preserve"> </w:t>
      </w:r>
    </w:p>
    <w:p w14:paraId="0BDA4DF0" w14:textId="77777777" w:rsidR="00B9168B" w:rsidRPr="00D71F93" w:rsidRDefault="00B9168B" w:rsidP="00B9168B">
      <w:pPr>
        <w:pStyle w:val="Heading2"/>
        <w:rPr>
          <w:szCs w:val="24"/>
        </w:rPr>
      </w:pPr>
      <w:bookmarkStart w:id="67" w:name="_Toc514255684"/>
      <w:bookmarkStart w:id="68" w:name="_Toc514259791"/>
      <w:r w:rsidRPr="0588217F">
        <w:t>3.5</w:t>
      </w:r>
      <w:r w:rsidRPr="00D71F93">
        <w:rPr>
          <w:szCs w:val="24"/>
        </w:rPr>
        <w:tab/>
      </w:r>
      <w:r w:rsidRPr="0588217F">
        <w:t>Correction factor</w:t>
      </w:r>
      <w:bookmarkEnd w:id="67"/>
      <w:bookmarkEnd w:id="68"/>
      <w:r w:rsidRPr="0588217F">
        <w:t xml:space="preserve"> </w:t>
      </w:r>
    </w:p>
    <w:p w14:paraId="50EC9713" w14:textId="77777777" w:rsidR="00B9168B" w:rsidRPr="00D71F93" w:rsidRDefault="00B9168B" w:rsidP="00B9168B">
      <w:pPr>
        <w:rPr>
          <w:szCs w:val="24"/>
        </w:rPr>
      </w:pPr>
      <w:r>
        <w:t xml:space="preserve">The correction factor for propagation mode 1 is applied over a specific frequency band and separately for transmitting and receiving earth stations (see § 4.4 of Recommendation ITU-R SM.1448 and § 3.4.1 above). In Recommendation ITU-R SM.1448-0 it is applied between 400 MHz – 60 GHz according to the relevant formulae in equation 21 (equation 20 in Appendix </w:t>
      </w:r>
      <w:r w:rsidRPr="0588217F">
        <w:rPr>
          <w:b/>
          <w:bCs/>
        </w:rPr>
        <w:t>7</w:t>
      </w:r>
      <w:r>
        <w:t>), with a maximum value of 15 dB for a transmitting earth station and 25 dB for a receiving earth station.</w:t>
      </w:r>
    </w:p>
    <w:p w14:paraId="1F6C9829" w14:textId="77777777" w:rsidR="00B9168B" w:rsidRPr="00D71F93" w:rsidRDefault="00B9168B" w:rsidP="00B9168B">
      <w:pPr>
        <w:rPr>
          <w:szCs w:val="24"/>
        </w:rPr>
      </w:pPr>
      <w:r>
        <w:t>If the values of predicted path loss vary between versions of the propagation model (noting the issue of the definition of the propagation model in § 3.4.6) or changes in operators’ operational experience, then it may be necessary to review the values of correction and/or their application across the different frequency bands.</w:t>
      </w:r>
    </w:p>
    <w:p w14:paraId="241611B9" w14:textId="77777777" w:rsidR="00B9168B" w:rsidRPr="00D71F93" w:rsidRDefault="00B9168B" w:rsidP="00B9168B">
      <w:pPr>
        <w:rPr>
          <w:szCs w:val="24"/>
        </w:rPr>
      </w:pPr>
      <w:r>
        <w:lastRenderedPageBreak/>
        <w:t xml:space="preserve">It should be noted any change to the Appendix </w:t>
      </w:r>
      <w:r w:rsidRPr="0588217F">
        <w:rPr>
          <w:b/>
          <w:bCs/>
        </w:rPr>
        <w:t>7</w:t>
      </w:r>
      <w:r>
        <w:t xml:space="preserve"> propagation models (see § 3.4.8) and/or correction factor means that there may be a need for a retrospective review of all existing registered Earth stations to determine any possible impact. </w:t>
      </w:r>
    </w:p>
    <w:p w14:paraId="7DB29BDA" w14:textId="77777777" w:rsidR="00B9168B" w:rsidRPr="00D71F93" w:rsidRDefault="00B9168B" w:rsidP="00B9168B">
      <w:pPr>
        <w:rPr>
          <w:szCs w:val="24"/>
        </w:rPr>
      </w:pPr>
      <w:r>
        <w:t>WP 3M did not support the inclusion of a non-propagation factor appearing in the propagation texts of Recommendation ITU-R P.620 (see § 3.4.1).While this is appropriate for the detailed explanation of the correction factors structure, in practise elements of the application of this factor are best placed within the detailed propagation calculations. Implementation of the correction factor was therefore incorporated in the propagation mode (1) annex of Recommendation ITU-R SM.1448 (see § 2.4.2) to simplify the application of the overall calculations for the end user.</w:t>
      </w:r>
    </w:p>
    <w:p w14:paraId="4811FC7F" w14:textId="77777777" w:rsidR="00B9168B" w:rsidRPr="00D71F93" w:rsidRDefault="00B9168B" w:rsidP="00B9168B">
      <w:pPr>
        <w:pStyle w:val="Heading2"/>
        <w:rPr>
          <w:szCs w:val="24"/>
        </w:rPr>
      </w:pPr>
      <w:bookmarkStart w:id="69" w:name="_Toc514255685"/>
      <w:bookmarkStart w:id="70" w:name="_Toc514259792"/>
      <w:r w:rsidRPr="0588217F">
        <w:t>3.6</w:t>
      </w:r>
      <w:r w:rsidRPr="00D71F93">
        <w:rPr>
          <w:szCs w:val="24"/>
        </w:rPr>
        <w:tab/>
      </w:r>
      <w:r w:rsidRPr="0588217F">
        <w:t>Testing</w:t>
      </w:r>
      <w:bookmarkEnd w:id="69"/>
      <w:bookmarkEnd w:id="70"/>
    </w:p>
    <w:p w14:paraId="7510692D" w14:textId="77777777" w:rsidR="00B9168B" w:rsidRPr="00D71F93" w:rsidRDefault="00B9168B" w:rsidP="00B9168B">
      <w:pPr>
        <w:rPr>
          <w:szCs w:val="24"/>
        </w:rPr>
      </w:pPr>
      <w:r w:rsidRPr="0588217F">
        <w:t xml:space="preserve">Revision of </w:t>
      </w:r>
      <w:r w:rsidR="00956205">
        <w:rPr>
          <w:lang w:eastAsia="en-GB"/>
        </w:rPr>
        <w:t>Recommendation ITU-R SM.1448’s</w:t>
      </w:r>
      <w:r w:rsidR="00293720">
        <w:rPr>
          <w:lang w:eastAsia="en-GB"/>
        </w:rPr>
        <w:t xml:space="preserve"> </w:t>
      </w:r>
      <w:r w:rsidRPr="00D71F93">
        <w:rPr>
          <w:lang w:eastAsia="en-GB"/>
        </w:rPr>
        <w:t>methods, propagation models and/or correction factor requires a thorough evaluation of the proposed changes. In addition the reviewers need to be “</w:t>
      </w:r>
      <w:r w:rsidRPr="0588217F">
        <w:rPr>
          <w:i/>
          <w:iCs/>
          <w:lang w:eastAsia="en-GB"/>
        </w:rPr>
        <w:t>aware of the complexity and interactivity between texts</w:t>
      </w:r>
      <w:r w:rsidRPr="00D71F93">
        <w:rPr>
          <w:lang w:eastAsia="en-GB"/>
        </w:rPr>
        <w:t>” in the combined recommendation</w:t>
      </w:r>
      <w:r w:rsidRPr="00D71F93">
        <w:rPr>
          <w:rStyle w:val="FootnoteReference"/>
          <w:lang w:eastAsia="en-GB"/>
        </w:rPr>
        <w:footnoteReference w:id="33"/>
      </w:r>
      <w:r w:rsidRPr="00D71F93">
        <w:rPr>
          <w:lang w:eastAsia="en-GB"/>
        </w:rPr>
        <w:t>, especially where experience is limited to one system or service, to avoid a desire “</w:t>
      </w:r>
      <w:r w:rsidRPr="0588217F">
        <w:rPr>
          <w:i/>
          <w:iCs/>
          <w:lang w:eastAsia="en-GB"/>
        </w:rPr>
        <w:t>to achieve a smaller coordination contour</w:t>
      </w:r>
      <w:r w:rsidRPr="00D71F93">
        <w:rPr>
          <w:lang w:eastAsia="en-GB"/>
        </w:rPr>
        <w:t>” adversely impacting other aspects of the procedures.</w:t>
      </w:r>
      <w:r w:rsidRPr="00D71F93">
        <w:t xml:space="preserve"> </w:t>
      </w:r>
    </w:p>
    <w:p w14:paraId="119FE9C6" w14:textId="77777777" w:rsidR="00B9168B" w:rsidRPr="00D71F93" w:rsidRDefault="00B9168B" w:rsidP="00B9168B">
      <w:pPr>
        <w:rPr>
          <w:szCs w:val="24"/>
        </w:rPr>
      </w:pPr>
      <w:r>
        <w:t xml:space="preserve">Revision of the </w:t>
      </w:r>
      <w:r w:rsidRPr="0588217F">
        <w:rPr>
          <w:lang w:eastAsia="en-GB"/>
        </w:rPr>
        <w:t>methods, propagation models and/or correction factor</w:t>
      </w:r>
      <w:r>
        <w:t xml:space="preserve"> also requires the ability to generate a graphical comparison of the coordination contours to evaluate the proposed changes. The absence of a means for graphical comparison can cause significant delays in the evaluation process (see Attachment 1). </w:t>
      </w:r>
    </w:p>
    <w:p w14:paraId="3ED7FF50" w14:textId="77777777" w:rsidR="00B9168B" w:rsidRPr="00D71F93" w:rsidRDefault="00B9168B" w:rsidP="00B9168B">
      <w:pPr>
        <w:rPr>
          <w:lang w:eastAsia="en-GB"/>
        </w:rPr>
      </w:pPr>
      <w:r w:rsidRPr="0588217F">
        <w:t>Evaluation of the candidate propagation models involved continuous testing over a 4 year period not only by a number of Member States but also the Bureau who had someone assigned to this specific task (Peter Lundborg) and their assistance was essential to the eventual successful conclusion of the work. WP 1A noting that “</w:t>
      </w:r>
      <w:r w:rsidRPr="0588217F">
        <w:rPr>
          <w:i/>
          <w:iCs/>
        </w:rPr>
        <w:t>it would be of necessity to expedite future reviews if proposals for the revision of frequency coordination propagation models and procedures were to be accompanied by example contours showing the effect of the proposed changes</w:t>
      </w:r>
      <w:r w:rsidRPr="0588217F">
        <w:rPr>
          <w:rStyle w:val="FootnoteReference"/>
        </w:rPr>
        <w:footnoteReference w:id="34"/>
      </w:r>
      <w:r w:rsidRPr="0588217F">
        <w:t>”.</w:t>
      </w:r>
    </w:p>
    <w:p w14:paraId="7F6A643E" w14:textId="77777777" w:rsidR="00B9168B" w:rsidRPr="00D71F93" w:rsidRDefault="00B9168B" w:rsidP="00B9168B">
      <w:pPr>
        <w:rPr>
          <w:szCs w:val="24"/>
        </w:rPr>
      </w:pPr>
      <w:r>
        <w:t xml:space="preserve">Although SG 3 can perform some testing to show differences between versions of propagation models, there is also a need for substantive testing by SG 1 in particular for any revision of the correction factor and interaction with operational limits applied within Recommendation ITU-R SM.1448 (see § 2.4.1). </w:t>
      </w:r>
    </w:p>
    <w:p w14:paraId="2F94A9F7" w14:textId="77777777" w:rsidR="00B9168B" w:rsidRPr="00D71F93" w:rsidRDefault="00B9168B" w:rsidP="00B9168B">
      <w:pPr>
        <w:rPr>
          <w:szCs w:val="24"/>
        </w:rPr>
      </w:pPr>
      <w:r>
        <w:t xml:space="preserve">Furthermore the Bureau needs to conduct tests of changes to propagation models and the correction factor with respect to the impact on the coordination distances of existing earth stations. In the case a change in Recommendation ITU-R SM.1448 is intended to lead to a revision of RR Appendix </w:t>
      </w:r>
      <w:r w:rsidRPr="0588217F">
        <w:rPr>
          <w:b/>
          <w:bCs/>
        </w:rPr>
        <w:t xml:space="preserve">7 </w:t>
      </w:r>
      <w:r>
        <w:t>the early availability of test results would be essential.</w:t>
      </w:r>
    </w:p>
    <w:p w14:paraId="754943EA" w14:textId="77777777" w:rsidR="00B9168B" w:rsidRPr="00D71F93" w:rsidRDefault="00B9168B" w:rsidP="00B9168B">
      <w:pPr>
        <w:rPr>
          <w:i/>
          <w:iCs/>
        </w:rPr>
      </w:pPr>
      <w:r w:rsidRPr="00D71F93">
        <w:rPr>
          <w:color w:val="000000" w:themeColor="text1"/>
        </w:rPr>
        <w:t>SG</w:t>
      </w:r>
      <w:r>
        <w:rPr>
          <w:color w:val="000000" w:themeColor="text1"/>
        </w:rPr>
        <w:t> </w:t>
      </w:r>
      <w:r w:rsidRPr="00D71F93">
        <w:rPr>
          <w:color w:val="000000" w:themeColor="text1"/>
        </w:rPr>
        <w:t>3 have reported</w:t>
      </w:r>
      <w:r w:rsidRPr="00D71F93">
        <w:rPr>
          <w:rStyle w:val="FootnoteReference"/>
          <w:color w:val="000000" w:themeColor="text1"/>
        </w:rPr>
        <w:footnoteReference w:id="35"/>
      </w:r>
      <w:r w:rsidRPr="00D71F93">
        <w:rPr>
          <w:color w:val="000000" w:themeColor="text1"/>
        </w:rPr>
        <w:t xml:space="preserve"> that “</w:t>
      </w:r>
      <w:r w:rsidRPr="0588217F">
        <w:rPr>
          <w:i/>
          <w:iCs/>
        </w:rPr>
        <w:t>essential changes were made to make Recommendation ITU-R P.620 compatible with Recommendation ITU</w:t>
      </w:r>
      <w:r w:rsidRPr="0588217F">
        <w:rPr>
          <w:i/>
          <w:iCs/>
        </w:rPr>
        <w:noBreakHyphen/>
        <w:t xml:space="preserve">R SM.1448 and Appendix 7 of the Radio Regulations. These changes did not align all Recommendation ITU-R P.620 text exactly with Recommendation ITU-R SM.1448 and Appendix </w:t>
      </w:r>
      <w:r w:rsidRPr="0588217F">
        <w:rPr>
          <w:b/>
          <w:bCs/>
          <w:i/>
          <w:iCs/>
        </w:rPr>
        <w:t>7</w:t>
      </w:r>
      <w:r w:rsidRPr="0588217F">
        <w:rPr>
          <w:i/>
          <w:iCs/>
        </w:rPr>
        <w:t xml:space="preserve">; the intention was simply to match the propagation calculations methods </w:t>
      </w:r>
      <w:r w:rsidRPr="0588217F">
        <w:rPr>
          <w:i/>
          <w:iCs/>
        </w:rPr>
        <w:lastRenderedPageBreak/>
        <w:t>and numerical values such as frequency limits”</w:t>
      </w:r>
      <w:r w:rsidRPr="00D71F93">
        <w:t>.  The changes only cover some of the points listed in § 2.4.1</w:t>
      </w:r>
      <w:r>
        <w:t>.</w:t>
      </w:r>
      <w:r w:rsidRPr="00D71F93">
        <w:t xml:space="preserve"> </w:t>
      </w:r>
      <w:r>
        <w:t>I</w:t>
      </w:r>
      <w:r w:rsidRPr="00D71F93">
        <w:t>t would be necessary in any testing to not only consider any differences in implementation between Recommendation ITU-R SM.1448-0 and the changes made by SG</w:t>
      </w:r>
      <w:r>
        <w:t> </w:t>
      </w:r>
      <w:r w:rsidRPr="00D71F93">
        <w:t>3 to Recommendation ITU-R P.620-4 but whether to retain the propagation elements TG</w:t>
      </w:r>
      <w:r>
        <w:t> </w:t>
      </w:r>
      <w:r w:rsidRPr="00D71F93">
        <w:t>1/6 included from Recommendation ITU</w:t>
      </w:r>
      <w:r w:rsidRPr="00D71F93">
        <w:noBreakHyphen/>
        <w:t xml:space="preserve">R IS.847-1 and Appendix </w:t>
      </w:r>
      <w:r w:rsidRPr="0588217F">
        <w:rPr>
          <w:b/>
          <w:bCs/>
        </w:rPr>
        <w:t>28</w:t>
      </w:r>
      <w:r w:rsidRPr="00D71F93">
        <w:t xml:space="preserve"> (</w:t>
      </w:r>
      <w:r w:rsidRPr="0588217F">
        <w:rPr>
          <w:b/>
          <w:bCs/>
        </w:rPr>
        <w:t>S7</w:t>
      </w:r>
      <w:r w:rsidRPr="00D71F93">
        <w:t>) of the Radio Regulations.</w:t>
      </w:r>
    </w:p>
    <w:p w14:paraId="16BF6A63" w14:textId="77777777" w:rsidR="00B9168B" w:rsidRPr="00D71F93" w:rsidRDefault="00B9168B" w:rsidP="00B9168B">
      <w:pPr>
        <w:pStyle w:val="Heading2"/>
        <w:rPr>
          <w:szCs w:val="24"/>
        </w:rPr>
      </w:pPr>
      <w:bookmarkStart w:id="71" w:name="_Toc514255686"/>
      <w:bookmarkStart w:id="72" w:name="_Toc514259793"/>
      <w:r w:rsidRPr="0588217F">
        <w:t>3.7</w:t>
      </w:r>
      <w:r w:rsidRPr="00D71F93">
        <w:rPr>
          <w:szCs w:val="24"/>
        </w:rPr>
        <w:tab/>
      </w:r>
      <w:r w:rsidRPr="0588217F">
        <w:t>System Parameters</w:t>
      </w:r>
      <w:bookmarkEnd w:id="71"/>
      <w:bookmarkEnd w:id="72"/>
    </w:p>
    <w:p w14:paraId="48610D8A" w14:textId="10CBA6B1" w:rsidR="00B9168B" w:rsidRPr="00D71F93" w:rsidRDefault="00B9168B" w:rsidP="00B9168B">
      <w:pPr>
        <w:rPr>
          <w:color w:val="000000" w:themeColor="text1"/>
        </w:rPr>
      </w:pPr>
      <w:r w:rsidRPr="00D71F93">
        <w:rPr>
          <w:color w:val="000000" w:themeColor="text1"/>
        </w:rPr>
        <w:t>In developing the tables of system parameters, the assistance of other ITU-R Working Parties is necessary to identify the relevant values. However it is noted that this process can lead to the identification of system specific values rather than the required worst case values. Also that identification of the appropriate values can be difficult when there are changes in use within a band (e.g. science services to dense telecomm</w:t>
      </w:r>
      <w:r>
        <w:rPr>
          <w:color w:val="000000" w:themeColor="text1"/>
        </w:rPr>
        <w:t xml:space="preserve">unication satellite networks). </w:t>
      </w:r>
      <w:r w:rsidRPr="00D71F93">
        <w:rPr>
          <w:color w:val="000000" w:themeColor="text1"/>
        </w:rPr>
        <w:t>TG</w:t>
      </w:r>
      <w:r>
        <w:rPr>
          <w:color w:val="000000" w:themeColor="text1"/>
        </w:rPr>
        <w:t> </w:t>
      </w:r>
      <w:r w:rsidRPr="00D71F93">
        <w:rPr>
          <w:color w:val="000000" w:themeColor="text1"/>
        </w:rPr>
        <w:t>1/6 noted that provision of system specific values was a problem</w:t>
      </w:r>
      <w:r w:rsidRPr="00D71F93">
        <w:rPr>
          <w:rStyle w:val="FootnoteReference"/>
          <w:color w:val="000000" w:themeColor="text1"/>
        </w:rPr>
        <w:footnoteReference w:id="36"/>
      </w:r>
      <w:r w:rsidRPr="00D71F93">
        <w:rPr>
          <w:color w:val="000000" w:themeColor="text1"/>
        </w:rPr>
        <w:t xml:space="preserve"> throughout the development of the system parameter tables.</w:t>
      </w:r>
    </w:p>
    <w:p w14:paraId="4E513C1A" w14:textId="77777777" w:rsidR="00B9168B" w:rsidRPr="00D71F93" w:rsidRDefault="00B9168B" w:rsidP="00B9168B">
      <w:pPr>
        <w:rPr>
          <w:b/>
          <w:bCs/>
        </w:rPr>
      </w:pPr>
      <w:r w:rsidRPr="0588217F">
        <w:rPr>
          <w:color w:val="000000" w:themeColor="text1"/>
        </w:rPr>
        <w:t xml:space="preserve">The system parameter tables have a complicated structure. The use of an automated comparison to identify differences between the tables in the recommendation and the tables in the latest version of the Radio Regulations requires the structure of both to exactly match, otherwise it may produce false readings. </w:t>
      </w:r>
      <w:r w:rsidRPr="00D41033">
        <w:rPr>
          <w:b/>
          <w:color w:val="000000" w:themeColor="text1"/>
          <w:u w:val="single"/>
        </w:rPr>
        <w:t>Note</w:t>
      </w:r>
      <w:r w:rsidRPr="00D41033">
        <w:rPr>
          <w:color w:val="000000" w:themeColor="text1"/>
          <w:u w:val="single"/>
        </w:rPr>
        <w:t xml:space="preserve">: care should be exercised in replacing a table in the recommendation with a table in Appendix </w:t>
      </w:r>
      <w:r w:rsidRPr="00D41033">
        <w:rPr>
          <w:b/>
          <w:bCs/>
          <w:color w:val="000000" w:themeColor="text1"/>
          <w:u w:val="single"/>
        </w:rPr>
        <w:t>7</w:t>
      </w:r>
      <w:r w:rsidRPr="00D41033">
        <w:rPr>
          <w:color w:val="000000" w:themeColor="text1"/>
          <w:u w:val="single"/>
        </w:rPr>
        <w:t xml:space="preserve">, as the notes to each table </w:t>
      </w:r>
      <w:r w:rsidR="00897338" w:rsidRPr="00897338">
        <w:rPr>
          <w:color w:val="000000" w:themeColor="text1"/>
          <w:u w:val="single"/>
        </w:rPr>
        <w:t xml:space="preserve">in particular the references to other parts of the recommendation/Appendix 7 </w:t>
      </w:r>
      <w:r w:rsidRPr="00D41033">
        <w:rPr>
          <w:color w:val="000000" w:themeColor="text1"/>
          <w:u w:val="single"/>
        </w:rPr>
        <w:t>may be specific to the document.</w:t>
      </w:r>
    </w:p>
    <w:p w14:paraId="1D7B8A8A" w14:textId="77777777" w:rsidR="00B9168B" w:rsidRPr="00D71F93" w:rsidRDefault="00B9168B" w:rsidP="00B9168B">
      <w:pPr>
        <w:pStyle w:val="Heading1"/>
        <w:rPr>
          <w:szCs w:val="24"/>
        </w:rPr>
      </w:pPr>
      <w:bookmarkStart w:id="73" w:name="_Toc514255687"/>
      <w:bookmarkStart w:id="74" w:name="_Toc514259794"/>
      <w:r w:rsidRPr="00D71F93">
        <w:t>4</w:t>
      </w:r>
      <w:r w:rsidRPr="00D71F93">
        <w:tab/>
        <w:t>Revision of Recommendation ITU-R SM.1448 and/or the revision of Appendix 7 of the Radio Regulations</w:t>
      </w:r>
      <w:bookmarkEnd w:id="73"/>
      <w:bookmarkEnd w:id="74"/>
      <w:r w:rsidRPr="0588217F">
        <w:t xml:space="preserve"> </w:t>
      </w:r>
    </w:p>
    <w:p w14:paraId="277E827D" w14:textId="77777777" w:rsidR="00B9168B" w:rsidRPr="00D71F93" w:rsidRDefault="00B9168B" w:rsidP="00B9168B">
      <w:pPr>
        <w:rPr>
          <w:szCs w:val="24"/>
        </w:rPr>
      </w:pPr>
      <w:r w:rsidRPr="00D71F93">
        <w:t>Recommendation ITU-R SM.1448 details a complex procedure that in its abbreviated form</w:t>
      </w:r>
      <w:r w:rsidRPr="0588217F">
        <w:rPr>
          <w:color w:val="000000" w:themeColor="text1"/>
          <w:position w:val="6"/>
          <w:sz w:val="18"/>
          <w:szCs w:val="18"/>
        </w:rPr>
        <w:footnoteReference w:id="37"/>
      </w:r>
      <w:r w:rsidRPr="00D71F93">
        <w:t xml:space="preserve"> in Appendix </w:t>
      </w:r>
      <w:r w:rsidRPr="0588217F">
        <w:rPr>
          <w:b/>
          <w:bCs/>
        </w:rPr>
        <w:t>7</w:t>
      </w:r>
      <w:r w:rsidRPr="00D71F93">
        <w:t xml:space="preserve"> provides the means to satisfy specific requirements of Article </w:t>
      </w:r>
      <w:r w:rsidRPr="0588217F">
        <w:rPr>
          <w:b/>
          <w:bCs/>
        </w:rPr>
        <w:t>11</w:t>
      </w:r>
      <w:r w:rsidRPr="00D71F93">
        <w:t xml:space="preserve"> </w:t>
      </w:r>
      <w:r w:rsidRPr="0588217F">
        <w:rPr>
          <w:rFonts w:eastAsia="Droid Sans"/>
          <w:i/>
          <w:iCs/>
        </w:rPr>
        <w:t>Notification and recording of frequency assignments</w:t>
      </w:r>
      <w:r w:rsidRPr="0588217F">
        <w:rPr>
          <w:rFonts w:eastAsia="Droid Sans"/>
          <w:b/>
          <w:bCs/>
          <w:sz w:val="20"/>
        </w:rPr>
        <w:t xml:space="preserve"> </w:t>
      </w:r>
      <w:r w:rsidRPr="00D71F93">
        <w:t xml:space="preserve">for certain Earth stations and terrestrial stations. </w:t>
      </w:r>
      <w:r w:rsidRPr="00D71F93">
        <w:rPr>
          <w:color w:val="000000" w:themeColor="text1"/>
        </w:rPr>
        <w:t xml:space="preserve">However, the structure of Recommendation ITU-R </w:t>
      </w:r>
      <w:hyperlink r:id="rId16" w:history="1">
        <w:r w:rsidRPr="00D71F93">
          <w:rPr>
            <w:color w:val="000000" w:themeColor="text1"/>
          </w:rPr>
          <w:t>SM.1448</w:t>
        </w:r>
      </w:hyperlink>
      <w:r w:rsidRPr="00D71F93">
        <w:rPr>
          <w:color w:val="000000" w:themeColor="text1"/>
        </w:rPr>
        <w:t xml:space="preserve"> and Appendix </w:t>
      </w:r>
      <w:r w:rsidRPr="0588217F">
        <w:rPr>
          <w:b/>
          <w:bCs/>
          <w:color w:val="000000" w:themeColor="text1"/>
        </w:rPr>
        <w:t>7</w:t>
      </w:r>
      <w:r w:rsidRPr="00D71F93">
        <w:rPr>
          <w:color w:val="000000" w:themeColor="text1"/>
        </w:rPr>
        <w:t xml:space="preserve"> remain broadly similar (see § 2.2). Appendix</w:t>
      </w:r>
      <w:r w:rsidRPr="0588217F">
        <w:rPr>
          <w:b/>
          <w:bCs/>
          <w:color w:val="000000" w:themeColor="text1"/>
        </w:rPr>
        <w:t xml:space="preserve"> 7</w:t>
      </w:r>
      <w:r w:rsidRPr="00D71F93">
        <w:rPr>
          <w:color w:val="000000" w:themeColor="text1"/>
        </w:rPr>
        <w:t xml:space="preserve"> also includes references to</w:t>
      </w:r>
      <w:r w:rsidRPr="0588217F">
        <w:t xml:space="preserve"> Recommendation ITU-R SM.1448 for further information, examples and the development of bilateral or multi-lateral agreements if so desired. </w:t>
      </w:r>
    </w:p>
    <w:p w14:paraId="3B60AB49" w14:textId="77777777" w:rsidR="00B9168B" w:rsidRPr="00D71F93" w:rsidRDefault="00B9168B" w:rsidP="00B9168B">
      <w:pPr>
        <w:rPr>
          <w:color w:val="000000" w:themeColor="text1"/>
        </w:rPr>
      </w:pPr>
      <w:r w:rsidRPr="0588217F">
        <w:rPr>
          <w:color w:val="000000" w:themeColor="text1"/>
        </w:rPr>
        <w:t xml:space="preserve">Further WRC-2000 noted that the methods and models in Appendix </w:t>
      </w:r>
      <w:r w:rsidRPr="0588217F">
        <w:rPr>
          <w:b/>
          <w:bCs/>
          <w:color w:val="000000" w:themeColor="text1"/>
        </w:rPr>
        <w:t>7</w:t>
      </w:r>
      <w:r w:rsidRPr="0588217F">
        <w:rPr>
          <w:color w:val="000000" w:themeColor="text1"/>
        </w:rPr>
        <w:t xml:space="preserve"> were tightly integrated and that its future revision would need to be based on a template that had been fully evaluated (see § 2.1) and agreed Resolution </w:t>
      </w:r>
      <w:r w:rsidRPr="0588217F">
        <w:rPr>
          <w:b/>
          <w:bCs/>
          <w:color w:val="000000" w:themeColor="text1"/>
        </w:rPr>
        <w:t>74</w:t>
      </w:r>
      <w:r w:rsidRPr="0588217F">
        <w:rPr>
          <w:color w:val="000000" w:themeColor="text1"/>
        </w:rPr>
        <w:t xml:space="preserve"> (</w:t>
      </w:r>
      <w:r w:rsidRPr="0588217F">
        <w:rPr>
          <w:b/>
          <w:bCs/>
          <w:color w:val="000000" w:themeColor="text1"/>
        </w:rPr>
        <w:t>Rev.WRC-03</w:t>
      </w:r>
      <w:r w:rsidRPr="0588217F">
        <w:rPr>
          <w:color w:val="000000" w:themeColor="text1"/>
        </w:rPr>
        <w:t xml:space="preserve">): </w:t>
      </w:r>
    </w:p>
    <w:p w14:paraId="0697DA01" w14:textId="77777777" w:rsidR="00B9168B" w:rsidRPr="004435BF" w:rsidRDefault="00B9168B" w:rsidP="00B9168B">
      <w:pPr>
        <w:pStyle w:val="enumlev1"/>
        <w:rPr>
          <w:i/>
          <w:iCs/>
        </w:rPr>
      </w:pPr>
      <w:r w:rsidRPr="0588217F">
        <w:t>–</w:t>
      </w:r>
      <w:r w:rsidRPr="004435BF">
        <w:rPr>
          <w:bCs/>
          <w:szCs w:val="24"/>
        </w:rPr>
        <w:tab/>
      </w:r>
      <w:r w:rsidRPr="0588217F">
        <w:t xml:space="preserve">in </w:t>
      </w:r>
      <w:r w:rsidRPr="0588217F">
        <w:rPr>
          <w:i/>
          <w:iCs/>
        </w:rPr>
        <w:t xml:space="preserve">recognising a) </w:t>
      </w:r>
      <w:r w:rsidRPr="0588217F">
        <w:t xml:space="preserve">that Recommendation ITU-R SM.1448 was developed as a basis for the revision of Appendix </w:t>
      </w:r>
      <w:r w:rsidRPr="0588217F">
        <w:rPr>
          <w:b/>
          <w:bCs/>
        </w:rPr>
        <w:t>7</w:t>
      </w:r>
      <w:r w:rsidRPr="0588217F">
        <w:t>; and,</w:t>
      </w:r>
      <w:r w:rsidRPr="0588217F">
        <w:rPr>
          <w:i/>
          <w:iCs/>
        </w:rPr>
        <w:t xml:space="preserve"> </w:t>
      </w:r>
    </w:p>
    <w:p w14:paraId="0A92FA9C" w14:textId="77777777" w:rsidR="00B9168B" w:rsidRPr="004435BF" w:rsidRDefault="00B9168B" w:rsidP="00B9168B">
      <w:pPr>
        <w:pStyle w:val="enumlev1"/>
        <w:rPr>
          <w:szCs w:val="24"/>
        </w:rPr>
      </w:pPr>
      <w:r w:rsidRPr="0588217F">
        <w:rPr>
          <w:i/>
          <w:iCs/>
        </w:rPr>
        <w:t>–</w:t>
      </w:r>
      <w:r w:rsidRPr="004435BF">
        <w:rPr>
          <w:i/>
          <w:szCs w:val="24"/>
        </w:rPr>
        <w:tab/>
      </w:r>
      <w:r w:rsidRPr="0588217F">
        <w:rPr>
          <w:i/>
          <w:iCs/>
        </w:rPr>
        <w:t>invites ITU</w:t>
      </w:r>
      <w:r w:rsidRPr="0588217F">
        <w:rPr>
          <w:i/>
          <w:iCs/>
        </w:rPr>
        <w:noBreakHyphen/>
        <w:t xml:space="preserve">R </w:t>
      </w:r>
      <w:r w:rsidRPr="0588217F">
        <w:t>to maintain the relevant ITU-R texts in a format which would facilitate the future revision of Appendix </w:t>
      </w:r>
      <w:r w:rsidRPr="0588217F">
        <w:rPr>
          <w:b/>
          <w:bCs/>
        </w:rPr>
        <w:t>7</w:t>
      </w:r>
      <w:r w:rsidRPr="0588217F">
        <w:t>.</w:t>
      </w:r>
    </w:p>
    <w:p w14:paraId="43A4E686" w14:textId="77777777" w:rsidR="00B9168B" w:rsidRPr="00D71F93" w:rsidRDefault="00B9168B" w:rsidP="00B9168B">
      <w:pPr>
        <w:rPr>
          <w:szCs w:val="24"/>
        </w:rPr>
      </w:pPr>
      <w:r>
        <w:t xml:space="preserve">An important aspect of the relationship between Appendix </w:t>
      </w:r>
      <w:r w:rsidRPr="0588217F">
        <w:rPr>
          <w:b/>
          <w:bCs/>
        </w:rPr>
        <w:t>7</w:t>
      </w:r>
      <w:r>
        <w:t xml:space="preserve"> and the version of Recommendation ITU-R SM.1448 in force is that they produce the same results and do not contradict each other, unless a specific version of the recommendation has been developed to revise Appendix </w:t>
      </w:r>
      <w:r w:rsidRPr="0588217F">
        <w:rPr>
          <w:b/>
          <w:bCs/>
        </w:rPr>
        <w:t>7</w:t>
      </w:r>
      <w:r>
        <w:t>.</w:t>
      </w:r>
    </w:p>
    <w:p w14:paraId="282C70D5" w14:textId="77777777" w:rsidR="00B9168B" w:rsidRPr="00D71F93" w:rsidRDefault="00B9168B" w:rsidP="00B9168B">
      <w:pPr>
        <w:rPr>
          <w:szCs w:val="24"/>
        </w:rPr>
      </w:pPr>
      <w:r>
        <w:lastRenderedPageBreak/>
        <w:t xml:space="preserve">Noting the points above and that </w:t>
      </w:r>
      <w:r w:rsidRPr="0588217F">
        <w:rPr>
          <w:color w:val="000000" w:themeColor="text1"/>
        </w:rPr>
        <w:t xml:space="preserve">Appendix </w:t>
      </w:r>
      <w:r w:rsidRPr="0588217F">
        <w:rPr>
          <w:b/>
          <w:bCs/>
          <w:color w:val="000000" w:themeColor="text1"/>
        </w:rPr>
        <w:t>7</w:t>
      </w:r>
      <w:r w:rsidRPr="0588217F">
        <w:rPr>
          <w:color w:val="000000" w:themeColor="text1"/>
        </w:rPr>
        <w:t xml:space="preserve"> can only be revised by a WRC, this places some limitations on the extent of change to the Recommendation. The following sections consider the options for revision of both documents.</w:t>
      </w:r>
    </w:p>
    <w:p w14:paraId="4BF1602A" w14:textId="77777777" w:rsidR="00B9168B" w:rsidRPr="00D71F93" w:rsidRDefault="00B9168B" w:rsidP="00B9168B">
      <w:pPr>
        <w:pStyle w:val="Heading2"/>
        <w:rPr>
          <w:color w:val="000000" w:themeColor="text1"/>
        </w:rPr>
      </w:pPr>
      <w:bookmarkStart w:id="75" w:name="_Toc514255688"/>
      <w:bookmarkStart w:id="76" w:name="_Toc514259795"/>
      <w:r w:rsidRPr="00D71F93">
        <w:rPr>
          <w:color w:val="000000" w:themeColor="text1"/>
        </w:rPr>
        <w:t>4.1</w:t>
      </w:r>
      <w:r w:rsidRPr="00D71F93">
        <w:rPr>
          <w:color w:val="000000" w:themeColor="text1"/>
        </w:rPr>
        <w:tab/>
        <w:t xml:space="preserve">Revision of Recommendation ITU-R </w:t>
      </w:r>
      <w:hyperlink r:id="rId17" w:history="1">
        <w:r w:rsidRPr="00D71F93">
          <w:rPr>
            <w:color w:val="000000" w:themeColor="text1"/>
          </w:rPr>
          <w:t>SM.1448</w:t>
        </w:r>
        <w:bookmarkEnd w:id="75"/>
        <w:bookmarkEnd w:id="76"/>
      </w:hyperlink>
    </w:p>
    <w:p w14:paraId="0602FB5C" w14:textId="5945A454" w:rsidR="00B9168B" w:rsidRPr="00D71F93" w:rsidRDefault="00B9168B" w:rsidP="00B9168B">
      <w:pPr>
        <w:rPr>
          <w:color w:val="000000" w:themeColor="text1"/>
        </w:rPr>
      </w:pPr>
      <w:r w:rsidRPr="0588217F">
        <w:rPr>
          <w:color w:val="000000" w:themeColor="text1"/>
        </w:rPr>
        <w:t xml:space="preserve">Revision of Recommendation ITU-R </w:t>
      </w:r>
      <w:hyperlink r:id="rId18">
        <w:r w:rsidRPr="0588217F">
          <w:rPr>
            <w:color w:val="000000" w:themeColor="text1"/>
          </w:rPr>
          <w:t>SM.1448</w:t>
        </w:r>
      </w:hyperlink>
      <w:r w:rsidRPr="0588217F">
        <w:rPr>
          <w:color w:val="000000" w:themeColor="text1"/>
        </w:rPr>
        <w:t xml:space="preserve"> may be performed separately from Appendix </w:t>
      </w:r>
      <w:r w:rsidRPr="0588217F">
        <w:rPr>
          <w:b/>
          <w:bCs/>
          <w:color w:val="000000" w:themeColor="text1"/>
        </w:rPr>
        <w:t>7</w:t>
      </w:r>
      <w:r w:rsidRPr="0588217F">
        <w:rPr>
          <w:color w:val="000000" w:themeColor="text1"/>
        </w:rPr>
        <w:t xml:space="preserve"> (i.e. the revision of Recommendation ITU-R </w:t>
      </w:r>
      <w:hyperlink r:id="rId19">
        <w:r w:rsidRPr="0588217F">
          <w:rPr>
            <w:color w:val="000000" w:themeColor="text1"/>
          </w:rPr>
          <w:t>SM.1448</w:t>
        </w:r>
      </w:hyperlink>
      <w:r w:rsidRPr="0588217F">
        <w:rPr>
          <w:color w:val="000000" w:themeColor="text1"/>
        </w:rPr>
        <w:t xml:space="preserve"> is not intended to initiate the revision of the Appendix </w:t>
      </w:r>
      <w:r w:rsidRPr="0588217F">
        <w:rPr>
          <w:b/>
          <w:bCs/>
          <w:color w:val="000000" w:themeColor="text1"/>
        </w:rPr>
        <w:t>7</w:t>
      </w:r>
      <w:r w:rsidRPr="0588217F">
        <w:rPr>
          <w:color w:val="000000" w:themeColor="text1"/>
        </w:rPr>
        <w:t xml:space="preserve">) or, as part of a planned coordinated process with the aim of revising Appendix </w:t>
      </w:r>
      <w:r w:rsidRPr="0588217F">
        <w:rPr>
          <w:b/>
          <w:bCs/>
          <w:color w:val="000000" w:themeColor="text1"/>
        </w:rPr>
        <w:t>7</w:t>
      </w:r>
      <w:r w:rsidRPr="0588217F">
        <w:rPr>
          <w:color w:val="000000" w:themeColor="text1"/>
        </w:rPr>
        <w:t xml:space="preserve"> at a future WRC.</w:t>
      </w:r>
    </w:p>
    <w:p w14:paraId="3B71B291" w14:textId="77777777" w:rsidR="00B9168B" w:rsidRPr="00D71F93" w:rsidRDefault="00B9168B" w:rsidP="00B9168B">
      <w:pPr>
        <w:pStyle w:val="Heading3"/>
        <w:rPr>
          <w:color w:val="000000" w:themeColor="text1"/>
        </w:rPr>
      </w:pPr>
      <w:bookmarkStart w:id="77" w:name="_Toc514255689"/>
      <w:bookmarkStart w:id="78" w:name="_Toc514259796"/>
      <w:r w:rsidRPr="00D71F93">
        <w:rPr>
          <w:color w:val="000000" w:themeColor="text1"/>
        </w:rPr>
        <w:t>4.1.1</w:t>
      </w:r>
      <w:r w:rsidRPr="00D71F93">
        <w:rPr>
          <w:color w:val="000000" w:themeColor="text1"/>
        </w:rPr>
        <w:tab/>
        <w:t>Revisi</w:t>
      </w:r>
      <w:r>
        <w:rPr>
          <w:color w:val="000000" w:themeColor="text1"/>
        </w:rPr>
        <w:t>o</w:t>
      </w:r>
      <w:r w:rsidRPr="00D71F93">
        <w:rPr>
          <w:color w:val="000000" w:themeColor="text1"/>
        </w:rPr>
        <w:t xml:space="preserve">n </w:t>
      </w:r>
      <w:r>
        <w:rPr>
          <w:color w:val="000000" w:themeColor="text1"/>
        </w:rPr>
        <w:t xml:space="preserve">of </w:t>
      </w:r>
      <w:r w:rsidRPr="00D71F93">
        <w:rPr>
          <w:color w:val="000000" w:themeColor="text1"/>
        </w:rPr>
        <w:t>Recommendation ITU-R SM.1448 separately from Appendix 7</w:t>
      </w:r>
      <w:bookmarkEnd w:id="77"/>
      <w:bookmarkEnd w:id="78"/>
    </w:p>
    <w:p w14:paraId="13DC3CB8" w14:textId="77777777" w:rsidR="00B9168B" w:rsidRPr="00D71F93" w:rsidRDefault="00B9168B" w:rsidP="00B9168B">
      <w:pPr>
        <w:rPr>
          <w:color w:val="000000" w:themeColor="text1"/>
        </w:rPr>
      </w:pPr>
      <w:r w:rsidRPr="0588217F">
        <w:rPr>
          <w:color w:val="000000" w:themeColor="text1"/>
        </w:rPr>
        <w:t>Recommendation ITU-R SM.1448 is maintained by SG 1 using the normal ITU-R procedures. However, if Recommendation ITU-R SM.1448 is to be maintained in a format that would facilitate the future revision of Appendix </w:t>
      </w:r>
      <w:r w:rsidRPr="0588217F">
        <w:rPr>
          <w:b/>
          <w:bCs/>
          <w:color w:val="000000" w:themeColor="text1"/>
        </w:rPr>
        <w:t xml:space="preserve">7 </w:t>
      </w:r>
      <w:r w:rsidRPr="0588217F">
        <w:rPr>
          <w:color w:val="000000" w:themeColor="text1"/>
        </w:rPr>
        <w:t>and the above constraints apply (see § 4.) the extent of any revisions are limited to:</w:t>
      </w:r>
    </w:p>
    <w:p w14:paraId="031222BC" w14:textId="77777777" w:rsidR="00B9168B" w:rsidRPr="00D71F93" w:rsidRDefault="00B9168B" w:rsidP="00B9168B">
      <w:pPr>
        <w:pStyle w:val="enumlev1"/>
      </w:pPr>
      <w:r w:rsidRPr="00D71F93">
        <w:t>–</w:t>
      </w:r>
      <w:r w:rsidRPr="00D71F93">
        <w:tab/>
        <w:t xml:space="preserve">the inclusion of revisions made by a previous WRC to the values and frequency bands in the system parameter tables of Appendix </w:t>
      </w:r>
      <w:r w:rsidRPr="0588217F">
        <w:rPr>
          <w:b/>
          <w:bCs/>
        </w:rPr>
        <w:t>7</w:t>
      </w:r>
      <w:r w:rsidRPr="00D71F93">
        <w:t>;</w:t>
      </w:r>
    </w:p>
    <w:p w14:paraId="69CB2923" w14:textId="02E657D0" w:rsidR="00B9168B" w:rsidRPr="00D71F93" w:rsidRDefault="00B9168B" w:rsidP="00B9168B">
      <w:pPr>
        <w:pStyle w:val="enumlev1"/>
      </w:pPr>
      <w:r w:rsidRPr="00D71F93">
        <w:t>–</w:t>
      </w:r>
      <w:r w:rsidRPr="00D71F93">
        <w:tab/>
        <w:t>the inclusion of other limited revisions made by a previous WRC (i.e. not changes to concepts, methods, or the propagation model(s)); and,</w:t>
      </w:r>
    </w:p>
    <w:p w14:paraId="31F60F51" w14:textId="77777777" w:rsidR="00B9168B" w:rsidRPr="00D71F93" w:rsidRDefault="00B9168B" w:rsidP="00B9168B">
      <w:pPr>
        <w:pStyle w:val="enumlev1"/>
      </w:pPr>
      <w:r w:rsidRPr="00D71F93">
        <w:t>–</w:t>
      </w:r>
      <w:r w:rsidRPr="00D71F93">
        <w:tab/>
        <w:t xml:space="preserve">elements of the text not included in Appendix </w:t>
      </w:r>
      <w:r w:rsidRPr="0588217F">
        <w:rPr>
          <w:b/>
          <w:bCs/>
        </w:rPr>
        <w:t>7</w:t>
      </w:r>
      <w:r w:rsidRPr="00D71F93">
        <w:t xml:space="preserve"> (see § 2.2).</w:t>
      </w:r>
    </w:p>
    <w:p w14:paraId="47B65A9C" w14:textId="77777777" w:rsidR="00B9168B" w:rsidRPr="00D71F93" w:rsidRDefault="00B9168B" w:rsidP="00B9168B">
      <w:pPr>
        <w:rPr>
          <w:color w:val="000000" w:themeColor="text1"/>
        </w:rPr>
      </w:pPr>
      <w:r w:rsidRPr="0588217F">
        <w:rPr>
          <w:color w:val="000000" w:themeColor="text1"/>
        </w:rPr>
        <w:t xml:space="preserve">Unless the proposed revision is limited to aligning Recommendation ITU-R SM.1448 with the decisions of previous WRCs it is advisable to involve the service Study Groups from the beginning. </w:t>
      </w:r>
    </w:p>
    <w:p w14:paraId="39BEF7C0" w14:textId="77777777" w:rsidR="00B9168B" w:rsidRPr="00D71F93" w:rsidRDefault="00B9168B" w:rsidP="00B9168B">
      <w:pPr>
        <w:rPr>
          <w:color w:val="000000" w:themeColor="text1"/>
        </w:rPr>
      </w:pPr>
      <w:r w:rsidRPr="0588217F">
        <w:rPr>
          <w:color w:val="000000" w:themeColor="text1"/>
        </w:rPr>
        <w:t xml:space="preserve">Note: Revising elements of the text not included in Appendix </w:t>
      </w:r>
      <w:r w:rsidRPr="0588217F">
        <w:rPr>
          <w:b/>
          <w:bCs/>
          <w:color w:val="000000" w:themeColor="text1"/>
        </w:rPr>
        <w:t xml:space="preserve">7 </w:t>
      </w:r>
      <w:r w:rsidRPr="0588217F">
        <w:rPr>
          <w:color w:val="000000" w:themeColor="text1"/>
        </w:rPr>
        <w:t xml:space="preserve">may require extensive evaluation to avoid the creation of contradictions with other elements of the Recommendation and/or Appendix </w:t>
      </w:r>
      <w:r w:rsidRPr="0588217F">
        <w:rPr>
          <w:b/>
          <w:bCs/>
          <w:color w:val="000000" w:themeColor="text1"/>
        </w:rPr>
        <w:t>7</w:t>
      </w:r>
      <w:r w:rsidRPr="0588217F">
        <w:rPr>
          <w:color w:val="000000" w:themeColor="text1"/>
        </w:rPr>
        <w:t xml:space="preserve"> (see § 5).</w:t>
      </w:r>
    </w:p>
    <w:p w14:paraId="6E335BDC" w14:textId="77777777" w:rsidR="00B9168B" w:rsidRPr="00D71F93" w:rsidRDefault="00B9168B" w:rsidP="00B9168B">
      <w:pPr>
        <w:pStyle w:val="Heading3"/>
        <w:rPr>
          <w:color w:val="000000" w:themeColor="text1"/>
        </w:rPr>
      </w:pPr>
      <w:bookmarkStart w:id="79" w:name="_Toc514255690"/>
      <w:bookmarkStart w:id="80" w:name="_Toc514259797"/>
      <w:r w:rsidRPr="00D71F93">
        <w:rPr>
          <w:color w:val="000000" w:themeColor="text1"/>
        </w:rPr>
        <w:t>4.1.2</w:t>
      </w:r>
      <w:r w:rsidRPr="00D71F93">
        <w:rPr>
          <w:color w:val="000000" w:themeColor="text1"/>
        </w:rPr>
        <w:tab/>
        <w:t>Revisi</w:t>
      </w:r>
      <w:r>
        <w:rPr>
          <w:color w:val="000000" w:themeColor="text1"/>
        </w:rPr>
        <w:t>o</w:t>
      </w:r>
      <w:r w:rsidRPr="00D71F93">
        <w:rPr>
          <w:color w:val="000000" w:themeColor="text1"/>
        </w:rPr>
        <w:t xml:space="preserve">n </w:t>
      </w:r>
      <w:r>
        <w:rPr>
          <w:color w:val="000000" w:themeColor="text1"/>
        </w:rPr>
        <w:t xml:space="preserve">of </w:t>
      </w:r>
      <w:r w:rsidRPr="00D71F93">
        <w:rPr>
          <w:color w:val="000000" w:themeColor="text1"/>
        </w:rPr>
        <w:t>Recommendation ITU-R SM.1448 and subsequent revisi</w:t>
      </w:r>
      <w:r>
        <w:rPr>
          <w:color w:val="000000" w:themeColor="text1"/>
        </w:rPr>
        <w:t>o</w:t>
      </w:r>
      <w:r w:rsidRPr="00D71F93">
        <w:rPr>
          <w:color w:val="000000" w:themeColor="text1"/>
        </w:rPr>
        <w:t xml:space="preserve">n </w:t>
      </w:r>
      <w:r>
        <w:rPr>
          <w:color w:val="000000" w:themeColor="text1"/>
        </w:rPr>
        <w:t xml:space="preserve">of </w:t>
      </w:r>
      <w:r w:rsidRPr="00D71F93">
        <w:rPr>
          <w:color w:val="000000" w:themeColor="text1"/>
        </w:rPr>
        <w:t xml:space="preserve">Appendix 7 via the application of </w:t>
      </w:r>
      <w:r w:rsidRPr="00D71F93" w:rsidDel="00623B41">
        <w:rPr>
          <w:color w:val="000000" w:themeColor="text1"/>
        </w:rPr>
        <w:t>Resolution 74 (Rev.WRC-03</w:t>
      </w:r>
      <w:r>
        <w:rPr>
          <w:color w:val="000000" w:themeColor="text1"/>
        </w:rPr>
        <w:t>)</w:t>
      </w:r>
      <w:bookmarkEnd w:id="79"/>
      <w:bookmarkEnd w:id="80"/>
    </w:p>
    <w:p w14:paraId="43580254" w14:textId="77777777" w:rsidR="00B9168B" w:rsidRPr="00D71F93" w:rsidRDefault="00B9168B" w:rsidP="00B9168B">
      <w:pPr>
        <w:rPr>
          <w:color w:val="000000" w:themeColor="text1"/>
        </w:rPr>
      </w:pPr>
      <w:r w:rsidRPr="0588217F">
        <w:rPr>
          <w:color w:val="000000" w:themeColor="text1"/>
        </w:rPr>
        <w:t xml:space="preserve">This option assumes that a revision of Recommendation ITU-R SM.1448 is: </w:t>
      </w:r>
    </w:p>
    <w:p w14:paraId="225E30A7" w14:textId="77777777" w:rsidR="00B9168B" w:rsidRPr="00D71F93" w:rsidRDefault="00B9168B" w:rsidP="00B9168B">
      <w:pPr>
        <w:pStyle w:val="enumlev1"/>
        <w:rPr>
          <w:b/>
          <w:bCs/>
        </w:rPr>
      </w:pPr>
      <w:r w:rsidRPr="00D71F93">
        <w:t>–</w:t>
      </w:r>
      <w:r w:rsidRPr="00D71F93">
        <w:tab/>
        <w:t xml:space="preserve">materially different from the current version of Appendix </w:t>
      </w:r>
      <w:r w:rsidRPr="0588217F">
        <w:rPr>
          <w:b/>
          <w:bCs/>
        </w:rPr>
        <w:t>7</w:t>
      </w:r>
      <w:r w:rsidRPr="0588217F">
        <w:t xml:space="preserve">; </w:t>
      </w:r>
    </w:p>
    <w:p w14:paraId="127D2BDF" w14:textId="77777777" w:rsidR="00B9168B" w:rsidRPr="00D71F93" w:rsidRDefault="00B9168B" w:rsidP="00B9168B">
      <w:pPr>
        <w:pStyle w:val="enumlev1"/>
        <w:rPr>
          <w:bCs/>
        </w:rPr>
      </w:pPr>
      <w:r w:rsidRPr="00D71F93">
        <w:t>–</w:t>
      </w:r>
      <w:r w:rsidRPr="00D71F93">
        <w:tab/>
        <w:t xml:space="preserve">contains sufficient improvements over the current version of Appendix </w:t>
      </w:r>
      <w:r w:rsidRPr="0588217F">
        <w:rPr>
          <w:b/>
          <w:bCs/>
        </w:rPr>
        <w:t xml:space="preserve">7 </w:t>
      </w:r>
      <w:r>
        <w:t>to justify the application of</w:t>
      </w:r>
      <w:r w:rsidRPr="00D71F93">
        <w:t xml:space="preserve"> Resolution </w:t>
      </w:r>
      <w:r w:rsidRPr="00D71F93">
        <w:rPr>
          <w:b/>
          <w:bCs/>
        </w:rPr>
        <w:t xml:space="preserve">74 </w:t>
      </w:r>
      <w:r w:rsidRPr="0588217F">
        <w:t>(</w:t>
      </w:r>
      <w:r w:rsidRPr="00D71F93">
        <w:rPr>
          <w:b/>
          <w:bCs/>
        </w:rPr>
        <w:t>Rev.WRC-03</w:t>
      </w:r>
      <w:r w:rsidRPr="0588217F">
        <w:t>); and,</w:t>
      </w:r>
    </w:p>
    <w:p w14:paraId="6708BC23" w14:textId="77777777" w:rsidR="00B9168B" w:rsidRPr="00D71F93" w:rsidRDefault="00B9168B" w:rsidP="00B9168B">
      <w:pPr>
        <w:pStyle w:val="enumlev1"/>
        <w:rPr>
          <w:bCs/>
        </w:rPr>
      </w:pPr>
      <w:r w:rsidRPr="0588217F">
        <w:t>–</w:t>
      </w:r>
      <w:r w:rsidRPr="00D71F93">
        <w:rPr>
          <w:bCs/>
        </w:rPr>
        <w:tab/>
      </w:r>
      <w:r w:rsidRPr="0588217F">
        <w:t xml:space="preserve">has been </w:t>
      </w:r>
      <w:r w:rsidRPr="00D71F93">
        <w:t xml:space="preserve">agreed by all affected parties such that there would not be any sustained opposition to the approval of the revised Recommendation ITU-R SM.1448 or the application of Resolution </w:t>
      </w:r>
      <w:r w:rsidRPr="00D71F93">
        <w:rPr>
          <w:b/>
          <w:bCs/>
        </w:rPr>
        <w:t xml:space="preserve">74 </w:t>
      </w:r>
      <w:r w:rsidRPr="0588217F">
        <w:t>(</w:t>
      </w:r>
      <w:r w:rsidRPr="00D71F93">
        <w:rPr>
          <w:b/>
          <w:bCs/>
        </w:rPr>
        <w:t>Rev.WRC-03</w:t>
      </w:r>
      <w:r w:rsidRPr="0588217F">
        <w:t>).</w:t>
      </w:r>
    </w:p>
    <w:p w14:paraId="55267869" w14:textId="77777777" w:rsidR="00B9168B" w:rsidRPr="00D71F93" w:rsidRDefault="00B9168B" w:rsidP="00B9168B">
      <w:pPr>
        <w:rPr>
          <w:color w:val="000000" w:themeColor="text1"/>
        </w:rPr>
      </w:pPr>
      <w:r w:rsidRPr="0588217F">
        <w:rPr>
          <w:color w:val="000000" w:themeColor="text1"/>
        </w:rPr>
        <w:t>If all of the above conditions apply SG 1 may propose revision of Appendix</w:t>
      </w:r>
      <w:r w:rsidRPr="0588217F">
        <w:rPr>
          <w:b/>
          <w:bCs/>
          <w:color w:val="000000" w:themeColor="text1"/>
        </w:rPr>
        <w:t xml:space="preserve"> 7 </w:t>
      </w:r>
      <w:r w:rsidRPr="0588217F">
        <w:rPr>
          <w:color w:val="000000" w:themeColor="text1"/>
        </w:rPr>
        <w:t xml:space="preserve">using the procedure listed in Resolution </w:t>
      </w:r>
      <w:r w:rsidRPr="0588217F">
        <w:rPr>
          <w:b/>
          <w:bCs/>
          <w:color w:val="000000" w:themeColor="text1"/>
        </w:rPr>
        <w:t xml:space="preserve">74 </w:t>
      </w:r>
      <w:r w:rsidRPr="0588217F">
        <w:rPr>
          <w:color w:val="000000" w:themeColor="text1"/>
        </w:rPr>
        <w:t>(</w:t>
      </w:r>
      <w:r w:rsidRPr="0588217F">
        <w:rPr>
          <w:b/>
          <w:bCs/>
          <w:color w:val="000000" w:themeColor="text1"/>
        </w:rPr>
        <w:t>Rev.WRC-03</w:t>
      </w:r>
      <w:r w:rsidRPr="0588217F">
        <w:rPr>
          <w:color w:val="000000" w:themeColor="text1"/>
        </w:rPr>
        <w:t>)</w:t>
      </w:r>
      <w:r w:rsidRPr="0588217F">
        <w:rPr>
          <w:b/>
          <w:bCs/>
          <w:color w:val="000000" w:themeColor="text1"/>
        </w:rPr>
        <w:t xml:space="preserve"> </w:t>
      </w:r>
      <w:r w:rsidRPr="0588217F">
        <w:rPr>
          <w:color w:val="000000" w:themeColor="text1"/>
        </w:rPr>
        <w:t xml:space="preserve">via the Radiocommunication Assembly (RA) and the Director’s Report to the Conference following the RA. </w:t>
      </w:r>
    </w:p>
    <w:p w14:paraId="3FE62AFD" w14:textId="77777777" w:rsidR="00B9168B" w:rsidRPr="00D71F93" w:rsidRDefault="00B9168B" w:rsidP="00B9168B">
      <w:pPr>
        <w:rPr>
          <w:color w:val="000000" w:themeColor="text1"/>
        </w:rPr>
      </w:pPr>
      <w:r w:rsidRPr="0588217F">
        <w:rPr>
          <w:color w:val="000000" w:themeColor="text1"/>
        </w:rPr>
        <w:t xml:space="preserve">Depending on the type and extent of the revision to Recommendation ITU-R SM.1448, the corresponding changes to Appendix </w:t>
      </w:r>
      <w:r w:rsidRPr="0588217F">
        <w:rPr>
          <w:b/>
          <w:bCs/>
          <w:color w:val="000000" w:themeColor="text1"/>
        </w:rPr>
        <w:t>7</w:t>
      </w:r>
      <w:r w:rsidRPr="0588217F">
        <w:rPr>
          <w:color w:val="000000" w:themeColor="text1"/>
        </w:rPr>
        <w:t xml:space="preserve"> may be addressed at that Conference or placed on a future Conference agenda noting: </w:t>
      </w:r>
    </w:p>
    <w:p w14:paraId="7C0BF363" w14:textId="77777777" w:rsidR="00B9168B" w:rsidRPr="00D71F93" w:rsidRDefault="00B9168B" w:rsidP="00B9168B">
      <w:pPr>
        <w:pStyle w:val="enumlev1"/>
      </w:pPr>
      <w:r w:rsidRPr="00D71F93">
        <w:lastRenderedPageBreak/>
        <w:t>–</w:t>
      </w:r>
      <w:r w:rsidRPr="00D71F93">
        <w:tab/>
        <w:t xml:space="preserve">both Recommendation ITU-R SM.1448 and Appendix </w:t>
      </w:r>
      <w:r w:rsidRPr="0588217F">
        <w:rPr>
          <w:b/>
          <w:bCs/>
        </w:rPr>
        <w:t>7</w:t>
      </w:r>
      <w:r w:rsidRPr="00D71F93">
        <w:t xml:space="preserve"> are large and complex documents that in addition to the proposed changes are not identical due to the abbreviated form of Recommendation ITU-R SM.1448 used in Appendix </w:t>
      </w:r>
      <w:r w:rsidRPr="0588217F">
        <w:rPr>
          <w:b/>
          <w:bCs/>
        </w:rPr>
        <w:t>7</w:t>
      </w:r>
      <w:r w:rsidRPr="00D71F93">
        <w:t xml:space="preserve"> (see § 2.2);</w:t>
      </w:r>
    </w:p>
    <w:p w14:paraId="7185281B" w14:textId="77777777" w:rsidR="00B9168B" w:rsidRPr="00D71F93" w:rsidRDefault="00B9168B" w:rsidP="00B9168B">
      <w:pPr>
        <w:pStyle w:val="enumlev1"/>
      </w:pPr>
      <w:r w:rsidRPr="00D71F93">
        <w:t>–</w:t>
      </w:r>
      <w:r w:rsidRPr="00D71F93">
        <w:tab/>
        <w:t xml:space="preserve">the size and complexity of Appendix </w:t>
      </w:r>
      <w:r w:rsidRPr="0588217F">
        <w:rPr>
          <w:b/>
          <w:bCs/>
        </w:rPr>
        <w:t>7</w:t>
      </w:r>
      <w:r w:rsidRPr="00D71F93">
        <w:t xml:space="preserve"> make it difficult to revise without a thoroughly reviewed source text as a template and the revisions to Recommendation ITU-R SM.1448 either would need to be presented in a revision marked version of the current Appendix </w:t>
      </w:r>
      <w:r w:rsidRPr="0588217F">
        <w:rPr>
          <w:b/>
          <w:bCs/>
        </w:rPr>
        <w:t>7</w:t>
      </w:r>
      <w:r w:rsidRPr="00D71F93">
        <w:t xml:space="preserve"> or in a suitably abbreviated form as a complete replacement; </w:t>
      </w:r>
    </w:p>
    <w:p w14:paraId="1C60797D" w14:textId="77777777" w:rsidR="00B9168B" w:rsidRPr="00D71F93" w:rsidRDefault="00B9168B" w:rsidP="00B9168B">
      <w:pPr>
        <w:pStyle w:val="enumlev1"/>
      </w:pPr>
      <w:r w:rsidRPr="00D71F93">
        <w:t>–</w:t>
      </w:r>
      <w:r w:rsidRPr="00D71F93">
        <w:tab/>
        <w:t xml:space="preserve">administrations may wish to have sufficient time to review the proposed changes to the current version of Appendix </w:t>
      </w:r>
      <w:r w:rsidRPr="0588217F">
        <w:rPr>
          <w:b/>
          <w:bCs/>
        </w:rPr>
        <w:t>7</w:t>
      </w:r>
      <w:r w:rsidRPr="00D71F93">
        <w:t xml:space="preserve"> before agreeing them at a WRC; and,</w:t>
      </w:r>
    </w:p>
    <w:p w14:paraId="3C21769E" w14:textId="77777777" w:rsidR="00B9168B" w:rsidRPr="00D71F93" w:rsidRDefault="00B9168B" w:rsidP="00B9168B">
      <w:pPr>
        <w:pStyle w:val="enumlev1"/>
      </w:pPr>
      <w:r w:rsidRPr="00D71F93">
        <w:t>–</w:t>
      </w:r>
      <w:r w:rsidRPr="00D71F93">
        <w:tab/>
        <w:t xml:space="preserve">there may be a need for consequential editorials to the proposed revision of Appendix </w:t>
      </w:r>
      <w:r w:rsidRPr="0588217F">
        <w:rPr>
          <w:b/>
          <w:bCs/>
        </w:rPr>
        <w:t>7</w:t>
      </w:r>
      <w:r w:rsidRPr="00D71F93">
        <w:t xml:space="preserve"> and as previously noted this can be a substantive task.</w:t>
      </w:r>
    </w:p>
    <w:p w14:paraId="6AD06CCE" w14:textId="47200033" w:rsidR="00B9168B" w:rsidRPr="00D71F93" w:rsidRDefault="00B9168B" w:rsidP="00B9168B">
      <w:pPr>
        <w:rPr>
          <w:color w:val="000000" w:themeColor="text1"/>
        </w:rPr>
      </w:pPr>
      <w:r w:rsidRPr="0588217F">
        <w:rPr>
          <w:color w:val="000000" w:themeColor="text1"/>
        </w:rPr>
        <w:t>Note: a revision marked version of the proposed changes to Appendix 7 may have been developed as part of the revision of Recommendation ITU-R SM.1448 and this may facilitate a WRC receiving the proposal in the Director’s Report to address the matter at that Conference. However, unless the changes are straightforward (e.g. providing missing entries in the system parameter tables) the limited option for a wider review by administrations still makes it likely the revision would be placed on the agenda of a future WRC.</w:t>
      </w:r>
    </w:p>
    <w:p w14:paraId="58EAF9C5" w14:textId="77777777" w:rsidR="00B9168B" w:rsidRPr="00D71F93" w:rsidRDefault="00B9168B" w:rsidP="00B9168B">
      <w:pPr>
        <w:rPr>
          <w:color w:val="000000" w:themeColor="text1"/>
        </w:rPr>
      </w:pPr>
      <w:r w:rsidRPr="0588217F">
        <w:rPr>
          <w:color w:val="000000" w:themeColor="text1"/>
        </w:rPr>
        <w:t xml:space="preserve">Under this option it is expected that it would be necessary to create a Task Group to develop the revision of Recommendation </w:t>
      </w:r>
      <w:r w:rsidRPr="0588217F">
        <w:rPr>
          <w:lang w:eastAsia="en-GB"/>
        </w:rPr>
        <w:t xml:space="preserve">ITU-R </w:t>
      </w:r>
      <w:r w:rsidRPr="0588217F">
        <w:rPr>
          <w:color w:val="000000" w:themeColor="text1"/>
        </w:rPr>
        <w:t>SM.1448.</w:t>
      </w:r>
    </w:p>
    <w:p w14:paraId="497CD9CD" w14:textId="77777777" w:rsidR="00B9168B" w:rsidRPr="00D71F93" w:rsidRDefault="00B9168B" w:rsidP="00B9168B">
      <w:pPr>
        <w:pStyle w:val="Heading2"/>
        <w:rPr>
          <w:color w:val="000000" w:themeColor="text1"/>
        </w:rPr>
      </w:pPr>
      <w:bookmarkStart w:id="81" w:name="_Toc514255691"/>
      <w:bookmarkStart w:id="82" w:name="_Toc514259798"/>
      <w:r w:rsidRPr="00D71F93">
        <w:rPr>
          <w:color w:val="000000" w:themeColor="text1"/>
        </w:rPr>
        <w:t>4.2</w:t>
      </w:r>
      <w:r w:rsidRPr="00D71F93">
        <w:rPr>
          <w:color w:val="000000" w:themeColor="text1"/>
        </w:rPr>
        <w:tab/>
        <w:t>Revision of Appendix 7</w:t>
      </w:r>
      <w:bookmarkEnd w:id="81"/>
      <w:bookmarkEnd w:id="82"/>
    </w:p>
    <w:p w14:paraId="55BC6224" w14:textId="4C6EF9E6" w:rsidR="00B9168B" w:rsidRPr="00D71F93" w:rsidRDefault="00B9168B" w:rsidP="00B9168B">
      <w:pPr>
        <w:rPr>
          <w:color w:val="000000" w:themeColor="text1"/>
        </w:rPr>
      </w:pPr>
      <w:r w:rsidRPr="0588217F">
        <w:rPr>
          <w:color w:val="000000" w:themeColor="text1"/>
        </w:rPr>
        <w:t xml:space="preserve">Every WRC reviews modifications to Appendix </w:t>
      </w:r>
      <w:r w:rsidRPr="0588217F">
        <w:rPr>
          <w:b/>
          <w:bCs/>
          <w:color w:val="000000" w:themeColor="text1"/>
        </w:rPr>
        <w:t>7</w:t>
      </w:r>
      <w:r w:rsidRPr="0588217F">
        <w:rPr>
          <w:color w:val="000000" w:themeColor="text1"/>
        </w:rPr>
        <w:t xml:space="preserve"> as a result of other decisions made by the Conference (e.g. on new or revised frequency allocations and services). However, a WRC may also decide to initiate a wider review of Appendix </w:t>
      </w:r>
      <w:r w:rsidRPr="0588217F">
        <w:rPr>
          <w:b/>
          <w:bCs/>
          <w:color w:val="000000" w:themeColor="text1"/>
        </w:rPr>
        <w:t>7</w:t>
      </w:r>
      <w:r w:rsidRPr="0588217F">
        <w:rPr>
          <w:color w:val="000000" w:themeColor="text1"/>
        </w:rPr>
        <w:t xml:space="preserve"> and place the result of this review on a future WRC agenda. In this case there would be a specific agenda item and it is not expected Resolution </w:t>
      </w:r>
      <w:r w:rsidRPr="0588217F">
        <w:rPr>
          <w:b/>
          <w:bCs/>
          <w:color w:val="000000" w:themeColor="text1"/>
        </w:rPr>
        <w:t>74</w:t>
      </w:r>
      <w:r w:rsidRPr="0588217F">
        <w:rPr>
          <w:color w:val="000000" w:themeColor="text1"/>
        </w:rPr>
        <w:t xml:space="preserve"> (</w:t>
      </w:r>
      <w:r w:rsidRPr="0588217F">
        <w:rPr>
          <w:b/>
          <w:bCs/>
          <w:color w:val="000000" w:themeColor="text1"/>
        </w:rPr>
        <w:t>Rev.WRC-03</w:t>
      </w:r>
      <w:r w:rsidRPr="0588217F">
        <w:rPr>
          <w:color w:val="000000" w:themeColor="text1"/>
        </w:rPr>
        <w:t>) would be used, irrespective of the use of Recommendation ITU-R SM.1448 as a source text for the review process.</w:t>
      </w:r>
    </w:p>
    <w:p w14:paraId="370DE2A9" w14:textId="77777777" w:rsidR="00B9168B" w:rsidRPr="00D71F93" w:rsidRDefault="00B9168B" w:rsidP="00B9168B">
      <w:pPr>
        <w:pStyle w:val="Heading1"/>
      </w:pPr>
      <w:bookmarkStart w:id="83" w:name="_Toc514255692"/>
      <w:bookmarkStart w:id="84" w:name="_Toc514259799"/>
      <w:r w:rsidRPr="00D71F93">
        <w:t>5</w:t>
      </w:r>
      <w:r w:rsidRPr="00D71F93">
        <w:tab/>
        <w:t>Study Group 1 maintenance of Recommendation ITU-R SM.1448</w:t>
      </w:r>
      <w:bookmarkEnd w:id="83"/>
      <w:bookmarkEnd w:id="84"/>
      <w:r w:rsidRPr="00D71F93">
        <w:t xml:space="preserve"> </w:t>
      </w:r>
    </w:p>
    <w:p w14:paraId="2ABD303B" w14:textId="77777777" w:rsidR="00B9168B" w:rsidRPr="00D71F93" w:rsidRDefault="00B9168B" w:rsidP="00B9168B">
      <w:pPr>
        <w:tabs>
          <w:tab w:val="clear" w:pos="1134"/>
          <w:tab w:val="clear" w:pos="1871"/>
          <w:tab w:val="clear" w:pos="2268"/>
        </w:tabs>
        <w:overflowPunct/>
        <w:autoSpaceDE/>
        <w:autoSpaceDN/>
        <w:adjustRightInd/>
        <w:textAlignment w:val="auto"/>
        <w:rPr>
          <w:szCs w:val="24"/>
        </w:rPr>
      </w:pPr>
      <w:r>
        <w:t xml:space="preserve">SG1 is the ideal custodian of Recommendation ITU-R SM.1448, its only interest in a revision is that it should be successful. Whereas other interested groups may have a preferential interest in the result or a desire that it should reflect the latest texts from their Study Group.  However participants to SG1 do not normally include the experts necessary to provide the critical analysis, questions or guidance on either the current implementation or any proposed technical revision.  </w:t>
      </w:r>
    </w:p>
    <w:p w14:paraId="36F0222C" w14:textId="77777777" w:rsidR="00B9168B" w:rsidRPr="00D71F93" w:rsidRDefault="00B9168B" w:rsidP="00B9168B">
      <w:pPr>
        <w:tabs>
          <w:tab w:val="clear" w:pos="1134"/>
          <w:tab w:val="clear" w:pos="1871"/>
          <w:tab w:val="clear" w:pos="2268"/>
        </w:tabs>
        <w:overflowPunct/>
        <w:autoSpaceDE/>
        <w:autoSpaceDN/>
        <w:adjustRightInd/>
        <w:textAlignment w:val="auto"/>
        <w:rPr>
          <w:szCs w:val="24"/>
        </w:rPr>
      </w:pPr>
      <w:r>
        <w:t xml:space="preserve">Any change to Recommendation ITU-R SM.1448’s concepts, methods, and/or models is likely to require substantial effort over a period of time. To avoid unnecessary work and especially disagreements with other Study Groups, SG 1 needs some form of procedure to guide it through a decision making process on revisions. The procedure would need to take into consideration the nature of Recommendation ITU-R SM.1448 and issues in the revision of recommendations supporting Appendix 7 (see § 2 and § 3.). </w:t>
      </w:r>
    </w:p>
    <w:p w14:paraId="355BCA8D" w14:textId="77777777" w:rsidR="00B9168B" w:rsidRPr="00D71F93" w:rsidRDefault="00B9168B" w:rsidP="00B9168B">
      <w:pPr>
        <w:pStyle w:val="Heading2"/>
        <w:rPr>
          <w:color w:val="000000" w:themeColor="text1"/>
        </w:rPr>
      </w:pPr>
      <w:bookmarkStart w:id="85" w:name="_Toc514255693"/>
      <w:bookmarkStart w:id="86" w:name="_Toc514259800"/>
      <w:r w:rsidRPr="00D71F93">
        <w:rPr>
          <w:color w:val="000000" w:themeColor="text1"/>
        </w:rPr>
        <w:t>5.1</w:t>
      </w:r>
      <w:r w:rsidRPr="00D71F93">
        <w:rPr>
          <w:color w:val="000000" w:themeColor="text1"/>
        </w:rPr>
        <w:tab/>
        <w:t xml:space="preserve">Nature of </w:t>
      </w:r>
      <w:r w:rsidRPr="0588217F">
        <w:rPr>
          <w:color w:val="000000" w:themeColor="text1"/>
        </w:rPr>
        <w:t>Recommendation ITU-R SM.1448</w:t>
      </w:r>
      <w:bookmarkEnd w:id="85"/>
      <w:bookmarkEnd w:id="86"/>
    </w:p>
    <w:p w14:paraId="1D765186" w14:textId="77777777" w:rsidR="00B9168B" w:rsidRPr="00D71F93" w:rsidRDefault="00B9168B" w:rsidP="00B9168B">
      <w:pPr>
        <w:rPr>
          <w:color w:val="000000" w:themeColor="text1"/>
        </w:rPr>
      </w:pPr>
      <w:r w:rsidRPr="0588217F">
        <w:rPr>
          <w:color w:val="000000" w:themeColor="text1"/>
        </w:rPr>
        <w:t xml:space="preserve">Recommendation ITU-R SM.1448 and Appendix </w:t>
      </w:r>
      <w:r w:rsidRPr="0588217F">
        <w:rPr>
          <w:b/>
          <w:bCs/>
          <w:color w:val="000000" w:themeColor="text1"/>
        </w:rPr>
        <w:t>7</w:t>
      </w:r>
      <w:r w:rsidRPr="0588217F">
        <w:rPr>
          <w:color w:val="000000" w:themeColor="text1"/>
        </w:rPr>
        <w:t xml:space="preserve"> address short term interference effects and combine:</w:t>
      </w:r>
    </w:p>
    <w:p w14:paraId="5F225466" w14:textId="77777777" w:rsidR="00B9168B" w:rsidRPr="00D71F93" w:rsidRDefault="00B9168B" w:rsidP="00B9168B">
      <w:pPr>
        <w:pStyle w:val="enumlev1"/>
      </w:pPr>
      <w:r w:rsidRPr="00D71F93">
        <w:lastRenderedPageBreak/>
        <w:t>–</w:t>
      </w:r>
      <w:r w:rsidRPr="00D71F93">
        <w:tab/>
        <w:t>a theoretical model to estimate the propagation loss between two geographic points under different sharing and climatic conditions; and,</w:t>
      </w:r>
    </w:p>
    <w:p w14:paraId="430CBB46" w14:textId="77777777" w:rsidR="00B9168B" w:rsidRPr="00D71F93" w:rsidRDefault="00B9168B" w:rsidP="00B9168B">
      <w:pPr>
        <w:pStyle w:val="enumlev1"/>
      </w:pPr>
      <w:r w:rsidRPr="00D71F93">
        <w:t>–</w:t>
      </w:r>
      <w:r w:rsidRPr="00D71F93">
        <w:tab/>
        <w:t>a series of pragmatic decisions based on practical experience of sharing over many decades to simplify the methods and constrain the theoretical model’s output, these include setting minimum coordination distance limits, maximum coordination distance limits, limits to ensure the long-term interference criterion is satisfied and the short-term interference arising from certain propagation mode 2 sharing scenarios is covered within the minimum coordination distance (Note: not all of the changes made by TG1/6 to Recommendation ITU-R P.620-4 and identified in § 2.4.1 have been incorporated into subsequent versions of Recommendation ITU-R P.620 see § 3.6.).</w:t>
      </w:r>
    </w:p>
    <w:p w14:paraId="5A794DAF" w14:textId="77777777" w:rsidR="00B9168B" w:rsidRPr="00D71F93" w:rsidRDefault="00B9168B" w:rsidP="00B9168B">
      <w:pPr>
        <w:rPr>
          <w:color w:val="000000" w:themeColor="text1"/>
        </w:rPr>
      </w:pPr>
      <w:r w:rsidRPr="00D71F93">
        <w:rPr>
          <w:color w:val="000000" w:themeColor="text1"/>
        </w:rPr>
        <w:t>The extent of integration between the different elements in Recommendation ITU-R SM.1448 is such that virtually no part of the recommendation can be modified without assessing the impact elsewhere</w:t>
      </w:r>
      <w:r w:rsidRPr="00D71F93">
        <w:rPr>
          <w:rStyle w:val="FootnoteReference"/>
          <w:color w:val="000000" w:themeColor="text1"/>
        </w:rPr>
        <w:footnoteReference w:id="38"/>
      </w:r>
      <w:r w:rsidRPr="00D71F93">
        <w:rPr>
          <w:color w:val="000000" w:themeColor="text1"/>
        </w:rPr>
        <w:t xml:space="preserve">. </w:t>
      </w:r>
    </w:p>
    <w:p w14:paraId="7AA629EF" w14:textId="77777777" w:rsidR="00B9168B" w:rsidRPr="00D71F93" w:rsidRDefault="00B9168B" w:rsidP="00B9168B">
      <w:pPr>
        <w:pStyle w:val="Heading2"/>
        <w:rPr>
          <w:color w:val="000000" w:themeColor="text1"/>
        </w:rPr>
      </w:pPr>
      <w:bookmarkStart w:id="87" w:name="_Toc514255694"/>
      <w:bookmarkStart w:id="88" w:name="_Toc514259801"/>
      <w:r w:rsidRPr="00D71F93">
        <w:rPr>
          <w:color w:val="000000" w:themeColor="text1"/>
        </w:rPr>
        <w:t>5.2</w:t>
      </w:r>
      <w:r w:rsidRPr="00D71F93">
        <w:rPr>
          <w:color w:val="000000" w:themeColor="text1"/>
        </w:rPr>
        <w:tab/>
        <w:t>A prospective procedure to assist review of Recommendation ITU-R SM.1448</w:t>
      </w:r>
      <w:bookmarkEnd w:id="87"/>
      <w:bookmarkEnd w:id="88"/>
    </w:p>
    <w:p w14:paraId="53A39D39" w14:textId="77777777" w:rsidR="00B9168B" w:rsidRPr="00D71F93" w:rsidRDefault="00B9168B" w:rsidP="00B9168B">
      <w:pPr>
        <w:rPr>
          <w:color w:val="000000" w:themeColor="text1"/>
        </w:rPr>
      </w:pPr>
      <w:r w:rsidRPr="0588217F">
        <w:rPr>
          <w:color w:val="000000" w:themeColor="text1"/>
        </w:rPr>
        <w:t>For Recommendation ITU-R SM.1448 the options for revision are:</w:t>
      </w:r>
    </w:p>
    <w:p w14:paraId="46D38706" w14:textId="77777777" w:rsidR="00B9168B" w:rsidRPr="00D71F93" w:rsidRDefault="00B9168B" w:rsidP="00B9168B">
      <w:pPr>
        <w:pStyle w:val="enumlev1"/>
      </w:pPr>
      <w:r w:rsidRPr="00D71F93">
        <w:t>1</w:t>
      </w:r>
      <w:r w:rsidRPr="00D71F93">
        <w:tab/>
        <w:t xml:space="preserve">to align it with changes made to Appendix </w:t>
      </w:r>
      <w:r w:rsidRPr="0588217F">
        <w:rPr>
          <w:b/>
          <w:bCs/>
        </w:rPr>
        <w:t>7</w:t>
      </w:r>
      <w:r w:rsidRPr="00D71F93">
        <w:t xml:space="preserve"> at a WRC;</w:t>
      </w:r>
    </w:p>
    <w:p w14:paraId="3BEFB990" w14:textId="7104A430" w:rsidR="00B9168B" w:rsidRPr="00D71F93" w:rsidRDefault="00B9168B" w:rsidP="00B9168B">
      <w:pPr>
        <w:pStyle w:val="enumlev1"/>
      </w:pPr>
      <w:r w:rsidRPr="00D71F93">
        <w:t>2</w:t>
      </w:r>
      <w:r w:rsidRPr="00D71F93">
        <w:tab/>
        <w:t xml:space="preserve">to change elements of the recommendation not included in Appendix </w:t>
      </w:r>
      <w:r w:rsidRPr="0588217F">
        <w:rPr>
          <w:b/>
          <w:bCs/>
        </w:rPr>
        <w:t>7</w:t>
      </w:r>
      <w:r w:rsidRPr="00D71F93">
        <w:t>, e.g. update methods not in Appendix 7, modify or add examples;</w:t>
      </w:r>
    </w:p>
    <w:p w14:paraId="76AE8E9E" w14:textId="77777777" w:rsidR="00B9168B" w:rsidRPr="00D71F93" w:rsidRDefault="00B9168B" w:rsidP="00B9168B">
      <w:pPr>
        <w:pStyle w:val="enumlev1"/>
      </w:pPr>
      <w:r w:rsidRPr="00D71F93">
        <w:t>3</w:t>
      </w:r>
      <w:r w:rsidRPr="00D71F93">
        <w:tab/>
        <w:t xml:space="preserve">to change the methods, concepts, models or system parameter tables without initiating a review of Appendix </w:t>
      </w:r>
      <w:r w:rsidRPr="0588217F">
        <w:rPr>
          <w:b/>
          <w:bCs/>
        </w:rPr>
        <w:t>7</w:t>
      </w:r>
      <w:r w:rsidRPr="00D71F93">
        <w:t xml:space="preserve"> through the procedure in Resolution </w:t>
      </w:r>
      <w:r w:rsidRPr="0588217F">
        <w:rPr>
          <w:b/>
          <w:bCs/>
        </w:rPr>
        <w:t>74</w:t>
      </w:r>
      <w:r w:rsidRPr="00D71F93">
        <w:t xml:space="preserve"> (</w:t>
      </w:r>
      <w:r w:rsidRPr="0588217F">
        <w:rPr>
          <w:b/>
          <w:bCs/>
        </w:rPr>
        <w:t>Rev.WRC-03</w:t>
      </w:r>
      <w:r w:rsidRPr="00D71F93">
        <w:t xml:space="preserve">); and, </w:t>
      </w:r>
    </w:p>
    <w:p w14:paraId="21A24447" w14:textId="77777777" w:rsidR="00B9168B" w:rsidRPr="00D71F93" w:rsidRDefault="00B9168B" w:rsidP="00B9168B">
      <w:pPr>
        <w:pStyle w:val="enumlev1"/>
        <w:rPr>
          <w:spacing w:val="-2"/>
        </w:rPr>
      </w:pPr>
      <w:r w:rsidRPr="00D71F93">
        <w:rPr>
          <w:spacing w:val="-2"/>
        </w:rPr>
        <w:t>4</w:t>
      </w:r>
      <w:r w:rsidRPr="00D71F93">
        <w:rPr>
          <w:spacing w:val="-2"/>
        </w:rPr>
        <w:tab/>
        <w:t xml:space="preserve">to change the methods, concepts, models or system parameter tables with the aim of initiating a review of Appendix </w:t>
      </w:r>
      <w:r w:rsidRPr="0588217F">
        <w:rPr>
          <w:b/>
          <w:bCs/>
          <w:spacing w:val="-2"/>
        </w:rPr>
        <w:t>7</w:t>
      </w:r>
      <w:r w:rsidRPr="00D71F93">
        <w:rPr>
          <w:spacing w:val="-2"/>
        </w:rPr>
        <w:t xml:space="preserve"> through the procedure in Resolution </w:t>
      </w:r>
      <w:r w:rsidRPr="0588217F">
        <w:rPr>
          <w:b/>
          <w:bCs/>
          <w:spacing w:val="-2"/>
        </w:rPr>
        <w:t>74</w:t>
      </w:r>
      <w:r w:rsidRPr="0588217F">
        <w:t xml:space="preserve"> (</w:t>
      </w:r>
      <w:r w:rsidRPr="0588217F">
        <w:rPr>
          <w:b/>
          <w:bCs/>
          <w:spacing w:val="-2"/>
        </w:rPr>
        <w:t>Rev.WRC</w:t>
      </w:r>
      <w:r w:rsidRPr="00D71F93">
        <w:rPr>
          <w:b/>
          <w:spacing w:val="-2"/>
        </w:rPr>
        <w:noBreakHyphen/>
      </w:r>
      <w:r w:rsidRPr="0588217F">
        <w:rPr>
          <w:b/>
          <w:bCs/>
          <w:spacing w:val="-2"/>
        </w:rPr>
        <w:t>03</w:t>
      </w:r>
      <w:r w:rsidRPr="0588217F">
        <w:t xml:space="preserve">). </w:t>
      </w:r>
    </w:p>
    <w:p w14:paraId="69221B73" w14:textId="77777777" w:rsidR="00B9168B" w:rsidRPr="00D71F93" w:rsidRDefault="00B9168B" w:rsidP="00B9168B">
      <w:r>
        <w:t>Only option 1 is relatively simple, although even this option could still require considerable involvement of the service Study Groups.  For the other options, the potential for creating contradictions between elements of the recommendation and/or between the recommendation and the Radio Regulations requires the involvement of experts to provide the necessary analysis, questions or guidance.</w:t>
      </w:r>
    </w:p>
    <w:p w14:paraId="5C840BCD" w14:textId="77777777" w:rsidR="00B9168B" w:rsidRPr="00D71F93" w:rsidRDefault="00B9168B" w:rsidP="00B9168B">
      <w:pPr>
        <w:rPr>
          <w:color w:val="000000" w:themeColor="text1"/>
        </w:rPr>
      </w:pPr>
      <w:r w:rsidRPr="0588217F">
        <w:rPr>
          <w:color w:val="000000" w:themeColor="text1"/>
        </w:rPr>
        <w:t>Option 3 also creates a particular dilemma</w:t>
      </w:r>
      <w:r>
        <w:t xml:space="preserve">, as a proposal to apply </w:t>
      </w:r>
      <w:r w:rsidRPr="0588217F">
        <w:rPr>
          <w:color w:val="000000" w:themeColor="text1"/>
        </w:rPr>
        <w:t xml:space="preserve">Resolution </w:t>
      </w:r>
      <w:r w:rsidRPr="0588217F">
        <w:rPr>
          <w:b/>
          <w:bCs/>
          <w:color w:val="000000" w:themeColor="text1"/>
        </w:rPr>
        <w:t>74</w:t>
      </w:r>
      <w:r w:rsidRPr="0588217F">
        <w:rPr>
          <w:color w:val="000000" w:themeColor="text1"/>
        </w:rPr>
        <w:t xml:space="preserve"> (</w:t>
      </w:r>
      <w:r w:rsidRPr="0588217F">
        <w:rPr>
          <w:b/>
          <w:bCs/>
          <w:color w:val="000000" w:themeColor="text1"/>
        </w:rPr>
        <w:t>Rev.WRC-03</w:t>
      </w:r>
      <w:r w:rsidRPr="0588217F">
        <w:rPr>
          <w:color w:val="000000" w:themeColor="text1"/>
        </w:rPr>
        <w:t>) could be made at any point in the progress of the work, including after approval by SG 1 and without appropriate participation by the relevant experts, it could cause unnecessary difficulties with other Study Groups.</w:t>
      </w:r>
    </w:p>
    <w:p w14:paraId="50C5AF6F" w14:textId="77777777" w:rsidR="00B9168B" w:rsidRPr="00D71F93" w:rsidRDefault="00B9168B" w:rsidP="00B9168B">
      <w:pPr>
        <w:rPr>
          <w:color w:val="000000" w:themeColor="text1"/>
        </w:rPr>
      </w:pPr>
      <w:r w:rsidRPr="0588217F">
        <w:rPr>
          <w:color w:val="000000" w:themeColor="text1"/>
        </w:rPr>
        <w:t xml:space="preserve">Proposals for aligning Recommendation ITU-R SM.1448 with Appendix </w:t>
      </w:r>
      <w:r w:rsidRPr="0588217F">
        <w:rPr>
          <w:b/>
          <w:bCs/>
          <w:color w:val="000000" w:themeColor="text1"/>
        </w:rPr>
        <w:t>7</w:t>
      </w:r>
      <w:r w:rsidRPr="0588217F">
        <w:rPr>
          <w:color w:val="000000" w:themeColor="text1"/>
        </w:rPr>
        <w:t xml:space="preserve"> may need to be separated from other proposals, although SG1 would still need a procedure to appropriately assess them. For the alignment of Recommendation ITU-R SM.1448 with Appendix </w:t>
      </w:r>
      <w:r w:rsidRPr="0588217F">
        <w:rPr>
          <w:b/>
          <w:bCs/>
          <w:color w:val="000000" w:themeColor="text1"/>
        </w:rPr>
        <w:t>7</w:t>
      </w:r>
      <w:r w:rsidRPr="0588217F">
        <w:rPr>
          <w:color w:val="000000" w:themeColor="text1"/>
        </w:rPr>
        <w:t xml:space="preserve">, there will be a need to communicate the proposed changes to the service Study Groups once the revision has been made.  </w:t>
      </w:r>
    </w:p>
    <w:p w14:paraId="4AE807BF" w14:textId="77777777" w:rsidR="00B9168B" w:rsidRPr="00D71F93" w:rsidRDefault="00B9168B" w:rsidP="00B9168B">
      <w:pPr>
        <w:rPr>
          <w:color w:val="000000" w:themeColor="text1"/>
        </w:rPr>
      </w:pPr>
      <w:r w:rsidRPr="0588217F">
        <w:rPr>
          <w:color w:val="000000" w:themeColor="text1"/>
        </w:rPr>
        <w:lastRenderedPageBreak/>
        <w:t>For proposals to modify other aspects of Recommendation ITU-R SM.1448 a detailed procedure is necessary and it would need to consider:</w:t>
      </w:r>
    </w:p>
    <w:p w14:paraId="427DFCBC" w14:textId="77777777" w:rsidR="00B9168B" w:rsidRPr="00D71F93" w:rsidRDefault="00B9168B" w:rsidP="00B9168B">
      <w:pPr>
        <w:pStyle w:val="enumlev1"/>
      </w:pPr>
      <w:r w:rsidRPr="00D71F93">
        <w:t>–</w:t>
      </w:r>
      <w:r w:rsidRPr="00D71F93">
        <w:tab/>
        <w:t>an initial assessment of the implications of the proposed revision, including advantages and disadvantages, bearing in mind the experts are in the service groups and SG1’s assessment can only be limited in its scope;</w:t>
      </w:r>
    </w:p>
    <w:p w14:paraId="765583AC" w14:textId="77777777" w:rsidR="00B9168B" w:rsidRPr="00D71F93" w:rsidRDefault="00B9168B" w:rsidP="00B9168B">
      <w:pPr>
        <w:pStyle w:val="enumlev1"/>
      </w:pPr>
      <w:r w:rsidRPr="00D71F93">
        <w:t>–</w:t>
      </w:r>
      <w:r w:rsidRPr="00D71F93">
        <w:tab/>
        <w:t>the criteria to be applied for the initial assessment;</w:t>
      </w:r>
    </w:p>
    <w:p w14:paraId="49A95359" w14:textId="77777777" w:rsidR="00B9168B" w:rsidRPr="00D71F93" w:rsidRDefault="00B9168B" w:rsidP="00B9168B">
      <w:pPr>
        <w:pStyle w:val="enumlev1"/>
      </w:pPr>
      <w:r w:rsidRPr="00D71F93">
        <w:t>–</w:t>
      </w:r>
      <w:r w:rsidRPr="00D71F93">
        <w:tab/>
        <w:t>if a decision is made to proceed with the revision</w:t>
      </w:r>
      <w:r>
        <w:t>,</w:t>
      </w:r>
      <w:r w:rsidRPr="00D71F93">
        <w:t xml:space="preserve"> then there is a need for a more in depth assessment involving experts from the service Study Groups and then it would need to cover:</w:t>
      </w:r>
    </w:p>
    <w:p w14:paraId="7FEF4C87" w14:textId="77777777" w:rsidR="00B9168B" w:rsidRPr="00D71F93" w:rsidRDefault="00B9168B" w:rsidP="00B9168B">
      <w:pPr>
        <w:pStyle w:val="enumlev2"/>
      </w:pPr>
      <w:r w:rsidRPr="0588217F">
        <w:t>•</w:t>
      </w:r>
      <w:r w:rsidRPr="00D71F93">
        <w:rPr>
          <w:szCs w:val="24"/>
        </w:rPr>
        <w:tab/>
      </w:r>
      <w:r w:rsidRPr="00D71F93">
        <w:t>who would be involved in a more in depth assessment;</w:t>
      </w:r>
    </w:p>
    <w:p w14:paraId="1A57D706" w14:textId="77777777" w:rsidR="00B9168B" w:rsidRPr="00D71F93" w:rsidRDefault="00B9168B" w:rsidP="00B9168B">
      <w:pPr>
        <w:pStyle w:val="enumlev2"/>
      </w:pPr>
      <w:r w:rsidRPr="0588217F">
        <w:t>•</w:t>
      </w:r>
      <w:r w:rsidRPr="00D71F93">
        <w:rPr>
          <w:szCs w:val="24"/>
        </w:rPr>
        <w:tab/>
      </w:r>
      <w:r w:rsidRPr="00D71F93">
        <w:t>how the in-depth assessment would be managed;</w:t>
      </w:r>
    </w:p>
    <w:p w14:paraId="36E0BDF3" w14:textId="77777777" w:rsidR="00B9168B" w:rsidRPr="00D71F93" w:rsidRDefault="00B9168B" w:rsidP="00B9168B">
      <w:pPr>
        <w:pStyle w:val="enumlev2"/>
      </w:pPr>
      <w:r w:rsidRPr="0588217F">
        <w:t>•</w:t>
      </w:r>
      <w:r w:rsidRPr="00D71F93">
        <w:rPr>
          <w:szCs w:val="24"/>
        </w:rPr>
        <w:tab/>
      </w:r>
      <w:r w:rsidRPr="00D71F93">
        <w:t>the proposed criteria for the in-depth assessment.</w:t>
      </w:r>
    </w:p>
    <w:p w14:paraId="66E3D2AA" w14:textId="77777777" w:rsidR="00B9168B" w:rsidRPr="00D71F93" w:rsidRDefault="00B9168B" w:rsidP="00B9168B">
      <w:pPr>
        <w:rPr>
          <w:color w:val="000000" w:themeColor="text1"/>
        </w:rPr>
      </w:pPr>
      <w:r w:rsidRPr="0588217F">
        <w:rPr>
          <w:color w:val="000000" w:themeColor="text1"/>
        </w:rPr>
        <w:t>Following an in-depth assessment if there is agreement to proceed with a revision then any change, other than alignment with the Radio Regulations</w:t>
      </w:r>
      <w:r w:rsidR="00E100B9">
        <w:rPr>
          <w:color w:val="000000" w:themeColor="text1"/>
        </w:rPr>
        <w:t>,</w:t>
      </w:r>
      <w:r w:rsidRPr="0588217F">
        <w:rPr>
          <w:color w:val="000000" w:themeColor="text1"/>
        </w:rPr>
        <w:t xml:space="preserve"> would need to assess the relative advantages and disadvantages of the revised Recommendation differing from Appendix </w:t>
      </w:r>
      <w:r w:rsidRPr="0588217F">
        <w:rPr>
          <w:b/>
          <w:bCs/>
          <w:color w:val="000000" w:themeColor="text1"/>
        </w:rPr>
        <w:t>7</w:t>
      </w:r>
      <w:r w:rsidRPr="0588217F">
        <w:rPr>
          <w:color w:val="000000" w:themeColor="text1"/>
        </w:rPr>
        <w:t>, in the event:</w:t>
      </w:r>
    </w:p>
    <w:p w14:paraId="4D15B739" w14:textId="77777777" w:rsidR="00B9168B" w:rsidRPr="00D71F93" w:rsidRDefault="00B9168B" w:rsidP="00B9168B">
      <w:pPr>
        <w:pStyle w:val="enumlev1"/>
      </w:pPr>
      <w:r w:rsidRPr="00D71F93">
        <w:t>–</w:t>
      </w:r>
      <w:r w:rsidRPr="00D71F93">
        <w:tab/>
        <w:t xml:space="preserve">it is not proposed to apply Resolution </w:t>
      </w:r>
      <w:r w:rsidRPr="0588217F">
        <w:rPr>
          <w:b/>
          <w:bCs/>
        </w:rPr>
        <w:t>74</w:t>
      </w:r>
      <w:r w:rsidRPr="00D71F93">
        <w:t xml:space="preserve"> (</w:t>
      </w:r>
      <w:r w:rsidRPr="0588217F">
        <w:rPr>
          <w:b/>
          <w:bCs/>
        </w:rPr>
        <w:t>Rev.WRC-03</w:t>
      </w:r>
      <w:r w:rsidRPr="00D71F93">
        <w:t xml:space="preserve">); </w:t>
      </w:r>
    </w:p>
    <w:p w14:paraId="5522DC06" w14:textId="77777777" w:rsidR="00B9168B" w:rsidRPr="00D71F93" w:rsidRDefault="00B9168B" w:rsidP="00B9168B">
      <w:pPr>
        <w:pStyle w:val="enumlev1"/>
      </w:pPr>
      <w:r w:rsidRPr="00D71F93">
        <w:t>–</w:t>
      </w:r>
      <w:r w:rsidRPr="00D71F93">
        <w:tab/>
        <w:t xml:space="preserve">there is failure to reach consensus on the application of Resolution </w:t>
      </w:r>
      <w:r w:rsidRPr="0588217F">
        <w:rPr>
          <w:b/>
          <w:bCs/>
        </w:rPr>
        <w:t>74</w:t>
      </w:r>
      <w:r w:rsidRPr="00D71F93">
        <w:t xml:space="preserve"> (</w:t>
      </w:r>
      <w:r w:rsidRPr="0588217F">
        <w:rPr>
          <w:b/>
          <w:bCs/>
        </w:rPr>
        <w:t>Rev.WRC-03</w:t>
      </w:r>
      <w:r w:rsidRPr="00D71F93">
        <w:t xml:space="preserve">); or, </w:t>
      </w:r>
    </w:p>
    <w:p w14:paraId="355FB59C" w14:textId="77777777" w:rsidR="00B9168B" w:rsidRPr="00D71F93" w:rsidRDefault="00B9168B" w:rsidP="00B9168B">
      <w:pPr>
        <w:pStyle w:val="enumlev1"/>
      </w:pPr>
      <w:r w:rsidRPr="00D71F93">
        <w:t>–</w:t>
      </w:r>
      <w:r w:rsidRPr="00D71F93">
        <w:tab/>
        <w:t>the Radiocommunication Assembly does not agree the matter should be included in the Director’s Report to the following WRC.</w:t>
      </w:r>
    </w:p>
    <w:p w14:paraId="33C6FCF0" w14:textId="77777777" w:rsidR="00B9168B" w:rsidRPr="00D71F93" w:rsidRDefault="00B9168B" w:rsidP="00B9168B">
      <w:pPr>
        <w:rPr>
          <w:color w:val="000000" w:themeColor="text1"/>
        </w:rPr>
      </w:pPr>
      <w:r w:rsidRPr="0588217F">
        <w:rPr>
          <w:color w:val="000000" w:themeColor="text1"/>
        </w:rPr>
        <w:t xml:space="preserve">It should be noted that any revision of Recommendation ITU-R SM.1448 </w:t>
      </w:r>
      <w:r w:rsidR="00E100B9">
        <w:rPr>
          <w:color w:val="000000" w:themeColor="text1"/>
        </w:rPr>
        <w:t>w</w:t>
      </w:r>
      <w:r w:rsidR="00E100B9" w:rsidRPr="0588217F">
        <w:rPr>
          <w:color w:val="000000" w:themeColor="text1"/>
        </w:rPr>
        <w:t xml:space="preserve">ould </w:t>
      </w:r>
      <w:r w:rsidRPr="0588217F">
        <w:rPr>
          <w:color w:val="000000" w:themeColor="text1"/>
        </w:rPr>
        <w:t xml:space="preserve">involve considerable effort, to test, revise, align, recalculate examples and edit the final text. For example if an update to the propagation model(s) were proposed then in addition to the necessary evaluation of the differences in application and results, the work would need to include: </w:t>
      </w:r>
    </w:p>
    <w:p w14:paraId="73E23FCD" w14:textId="77777777" w:rsidR="00B9168B" w:rsidRPr="00D71F93" w:rsidRDefault="00B9168B" w:rsidP="00B9168B">
      <w:pPr>
        <w:pStyle w:val="enumlev1"/>
      </w:pPr>
      <w:r w:rsidRPr="00D71F93">
        <w:t>–</w:t>
      </w:r>
      <w:r w:rsidRPr="00D71F93">
        <w:tab/>
        <w:t>consideration of the implications of applying a change to only propagation mode (1) or mode (2) – noting Recommendation ITU-R SM.1448 could then be based on very different versions of Recommendation ITU-R P.620 and its component recommendations;</w:t>
      </w:r>
    </w:p>
    <w:p w14:paraId="49B699A7" w14:textId="77777777" w:rsidR="00B9168B" w:rsidRPr="00D71F93" w:rsidRDefault="00B9168B" w:rsidP="00B9168B">
      <w:pPr>
        <w:pStyle w:val="enumlev1"/>
      </w:pPr>
      <w:r w:rsidRPr="00D71F93">
        <w:t>–</w:t>
      </w:r>
      <w:r w:rsidRPr="00D71F93">
        <w:tab/>
        <w:t>for mode (1) assessment of any impact on the correction factor;</w:t>
      </w:r>
    </w:p>
    <w:p w14:paraId="7D317102" w14:textId="77777777" w:rsidR="00B9168B" w:rsidRPr="00D71F93" w:rsidRDefault="00B9168B" w:rsidP="00B9168B">
      <w:pPr>
        <w:pStyle w:val="enumlev1"/>
      </w:pPr>
      <w:r w:rsidRPr="00D71F93">
        <w:t>–</w:t>
      </w:r>
      <w:r w:rsidRPr="00D71F93">
        <w:tab/>
        <w:t>for mode (2) any implications for mode (2) contour construction, including the bidirectional propagation mode (2) contour and the assumptions used fo</w:t>
      </w:r>
      <w:r>
        <w:t>r the NGSO coordination contour</w:t>
      </w:r>
      <w:r w:rsidRPr="00D71F93">
        <w:t>;</w:t>
      </w:r>
    </w:p>
    <w:p w14:paraId="6CC955A8" w14:textId="77777777" w:rsidR="00B9168B" w:rsidRPr="00D71F93" w:rsidRDefault="00B9168B" w:rsidP="00B9168B">
      <w:pPr>
        <w:pStyle w:val="enumlev1"/>
      </w:pPr>
      <w:r w:rsidRPr="00D71F93">
        <w:t>–</w:t>
      </w:r>
      <w:r w:rsidRPr="00D71F93">
        <w:tab/>
        <w:t>consideration of the retention of mode (1) and mode (2) propagation elements TG1/6 included from</w:t>
      </w:r>
      <w:r>
        <w:t xml:space="preserve"> Recommendation ITU</w:t>
      </w:r>
      <w:r>
        <w:noBreakHyphen/>
        <w:t>R IS.847-1 and Appendix 28;</w:t>
      </w:r>
    </w:p>
    <w:p w14:paraId="02E7F8A9" w14:textId="77777777" w:rsidR="00B9168B" w:rsidRPr="00D71F93" w:rsidRDefault="00B9168B" w:rsidP="00B9168B">
      <w:pPr>
        <w:pStyle w:val="enumlev1"/>
      </w:pPr>
      <w:r w:rsidRPr="00D71F93">
        <w:t>–</w:t>
      </w:r>
      <w:r w:rsidRPr="00D71F93">
        <w:tab/>
        <w:t>how the long term interference criterion will continue to be met – via minimum coordination distances or modified procedures and additional data provided in the system parameter tables for all sharing cases.</w:t>
      </w:r>
    </w:p>
    <w:p w14:paraId="183B0ACB" w14:textId="77777777" w:rsidR="00B9168B" w:rsidRPr="00D71F93" w:rsidRDefault="00B9168B" w:rsidP="00B9168B">
      <w:pPr>
        <w:pStyle w:val="Heading1"/>
      </w:pPr>
      <w:bookmarkStart w:id="89" w:name="_Toc514255695"/>
      <w:bookmarkStart w:id="90" w:name="_Toc514259802"/>
      <w:r w:rsidRPr="00D71F93">
        <w:t>6</w:t>
      </w:r>
      <w:r w:rsidRPr="00D71F93">
        <w:tab/>
        <w:t>Conclusion</w:t>
      </w:r>
      <w:bookmarkEnd w:id="89"/>
      <w:bookmarkEnd w:id="90"/>
    </w:p>
    <w:p w14:paraId="2C19C559" w14:textId="77777777" w:rsidR="00B9168B" w:rsidRPr="00D71F93" w:rsidRDefault="00B9168B" w:rsidP="00B9168B">
      <w:pPr>
        <w:rPr>
          <w:szCs w:val="24"/>
        </w:rPr>
      </w:pPr>
      <w:r>
        <w:t xml:space="preserve">The </w:t>
      </w:r>
      <w:r w:rsidR="00E100B9">
        <w:t xml:space="preserve">original </w:t>
      </w:r>
      <w:r>
        <w:t xml:space="preserve">development of Recommendation ITU-R SM.1448 was a complex task and any revision would have to consider that: </w:t>
      </w:r>
    </w:p>
    <w:p w14:paraId="73B4A944" w14:textId="77777777" w:rsidR="00B9168B" w:rsidRPr="00D71F93" w:rsidRDefault="00B9168B" w:rsidP="00B9168B">
      <w:pPr>
        <w:pStyle w:val="enumlev1"/>
      </w:pPr>
      <w:r w:rsidRPr="00D71F93">
        <w:lastRenderedPageBreak/>
        <w:t>–</w:t>
      </w:r>
      <w:r w:rsidRPr="00D71F93">
        <w:tab/>
        <w:t>inclusion of the composite version of Recommendation ITU-R P.620</w:t>
      </w:r>
      <w:r w:rsidRPr="0588217F">
        <w:rPr>
          <w:b/>
          <w:bCs/>
          <w:i/>
          <w:iCs/>
        </w:rPr>
        <w:t xml:space="preserve"> </w:t>
      </w:r>
      <w:r w:rsidRPr="00D71F93">
        <w:t>required modification of its texts;</w:t>
      </w:r>
    </w:p>
    <w:p w14:paraId="74CE8FE9" w14:textId="77777777" w:rsidR="00B9168B" w:rsidRPr="00D71F93" w:rsidRDefault="00B9168B" w:rsidP="00B9168B">
      <w:pPr>
        <w:pStyle w:val="enumlev1"/>
        <w:rPr>
          <w:szCs w:val="24"/>
        </w:rPr>
      </w:pPr>
      <w:r w:rsidRPr="00D71F93">
        <w:t>–</w:t>
      </w:r>
      <w:r w:rsidRPr="00D71F93">
        <w:tab/>
        <w:t xml:space="preserve">the normal rules of taking the most recent version of the component propagation recommendations may not produce a workable composite recommendation (as is the case with </w:t>
      </w:r>
      <w:r w:rsidRPr="00D71F93">
        <w:rPr>
          <w:lang w:eastAsia="en-GB"/>
        </w:rPr>
        <w:t xml:space="preserve">ITU-R </w:t>
      </w:r>
      <w:r w:rsidRPr="00D71F93">
        <w:t>P.620-4, see § 2.3);</w:t>
      </w:r>
    </w:p>
    <w:p w14:paraId="3373C160" w14:textId="77777777" w:rsidR="00B9168B" w:rsidRPr="00D71F93" w:rsidRDefault="00B9168B" w:rsidP="00B9168B">
      <w:pPr>
        <w:pStyle w:val="enumlev1"/>
      </w:pPr>
      <w:r w:rsidRPr="00D71F93">
        <w:t>–</w:t>
      </w:r>
      <w:r w:rsidRPr="00D71F93">
        <w:tab/>
        <w:t xml:space="preserve">development over time, of the component recommendations, may make them unsuitable for inclusion within a composite propagation text; </w:t>
      </w:r>
    </w:p>
    <w:p w14:paraId="7ACE50B8" w14:textId="77777777" w:rsidR="00B9168B" w:rsidRPr="00D71F93" w:rsidRDefault="00B9168B" w:rsidP="00B9168B">
      <w:pPr>
        <w:pStyle w:val="enumlev1"/>
        <w:rPr>
          <w:szCs w:val="24"/>
        </w:rPr>
      </w:pPr>
      <w:r w:rsidRPr="00D71F93">
        <w:t>–</w:t>
      </w:r>
      <w:r w:rsidRPr="00D71F93">
        <w:tab/>
        <w:t>TG</w:t>
      </w:r>
      <w:r>
        <w:t> </w:t>
      </w:r>
      <w:r w:rsidRPr="00D71F93">
        <w:t xml:space="preserve">1/6 had to make considerable changes to the </w:t>
      </w:r>
      <w:r w:rsidRPr="00D71F93">
        <w:rPr>
          <w:lang w:eastAsia="en-GB"/>
        </w:rPr>
        <w:t xml:space="preserve">ITU-R </w:t>
      </w:r>
      <w:r w:rsidRPr="00D71F93">
        <w:t xml:space="preserve">P.620 text to make it compatible with system based texts; </w:t>
      </w:r>
    </w:p>
    <w:p w14:paraId="57FBA2AC" w14:textId="77777777" w:rsidR="00B9168B" w:rsidRPr="00D71F93" w:rsidRDefault="00B9168B" w:rsidP="00B9168B">
      <w:pPr>
        <w:pStyle w:val="enumlev1"/>
        <w:rPr>
          <w:szCs w:val="24"/>
        </w:rPr>
      </w:pPr>
      <w:r w:rsidRPr="0588217F">
        <w:t>–</w:t>
      </w:r>
      <w:r w:rsidRPr="00D71F93">
        <w:rPr>
          <w:szCs w:val="24"/>
        </w:rPr>
        <w:tab/>
      </w:r>
      <w:r w:rsidRPr="0588217F">
        <w:t>changes to the propagation models or the correction factor would require significant evaluation.</w:t>
      </w:r>
    </w:p>
    <w:p w14:paraId="6B9C75D3" w14:textId="77777777" w:rsidR="00B9168B" w:rsidRPr="00D71F93" w:rsidRDefault="00B9168B" w:rsidP="00B9168B">
      <w:r>
        <w:t xml:space="preserve">Recommendation ITU-R SM.1448 is a Recommendation that primarily affects the work of other Study Groups. Hence in any revision to the Recommendation, Study Group 1 (SG 1) would be advised to consult the views of the other Study Groups. SG 1 would be advised to have an overwhelming and compelling support from the other Study Groups for any decision to proceed with any changes they would like to make. </w:t>
      </w:r>
    </w:p>
    <w:p w14:paraId="6C611B95" w14:textId="77777777" w:rsidR="00B9168B" w:rsidRPr="00D71F93" w:rsidRDefault="00B9168B" w:rsidP="00B9168B">
      <w:pPr>
        <w:tabs>
          <w:tab w:val="clear" w:pos="1134"/>
          <w:tab w:val="clear" w:pos="1871"/>
          <w:tab w:val="clear" w:pos="2268"/>
        </w:tabs>
        <w:overflowPunct/>
        <w:autoSpaceDE/>
        <w:autoSpaceDN/>
        <w:adjustRightInd/>
        <w:spacing w:before="0"/>
        <w:textAlignment w:val="auto"/>
      </w:pPr>
      <w:r w:rsidRPr="00D71F93">
        <w:br w:type="page"/>
      </w:r>
    </w:p>
    <w:p w14:paraId="646C0DC0" w14:textId="77777777" w:rsidR="00B9168B" w:rsidRPr="00D71F93" w:rsidRDefault="00B9168B" w:rsidP="00B9168B">
      <w:pPr>
        <w:pStyle w:val="AnnexNo"/>
        <w:rPr>
          <w:lang w:eastAsia="zh-CN"/>
        </w:rPr>
      </w:pPr>
      <w:bookmarkStart w:id="91" w:name="_Toc514255696"/>
      <w:bookmarkStart w:id="92" w:name="_Toc514255920"/>
      <w:bookmarkStart w:id="93" w:name="_Toc514257025"/>
      <w:bookmarkStart w:id="94" w:name="_Toc514259099"/>
      <w:bookmarkStart w:id="95" w:name="_Toc514259803"/>
      <w:r w:rsidRPr="00D71F93">
        <w:rPr>
          <w:lang w:eastAsia="zh-CN"/>
        </w:rPr>
        <w:lastRenderedPageBreak/>
        <w:t>ATTACHMENT 1</w:t>
      </w:r>
      <w:bookmarkEnd w:id="91"/>
      <w:bookmarkEnd w:id="92"/>
      <w:bookmarkEnd w:id="93"/>
      <w:bookmarkEnd w:id="94"/>
      <w:bookmarkEnd w:id="95"/>
    </w:p>
    <w:p w14:paraId="20586AE0" w14:textId="77777777" w:rsidR="00B9168B" w:rsidRPr="00D71F93" w:rsidRDefault="00B9168B" w:rsidP="00B9168B">
      <w:pPr>
        <w:pStyle w:val="Annextitle"/>
        <w:rPr>
          <w:lang w:eastAsia="zh-CN"/>
        </w:rPr>
      </w:pPr>
      <w:bookmarkStart w:id="96" w:name="_Toc514255697"/>
      <w:bookmarkStart w:id="97" w:name="_Toc514259804"/>
      <w:r w:rsidRPr="00D71F93">
        <w:t xml:space="preserve">Review of </w:t>
      </w:r>
      <w:r w:rsidRPr="0588217F">
        <w:rPr>
          <w:lang w:eastAsia="en-GB"/>
        </w:rPr>
        <w:t xml:space="preserve">Appendix 28 (S7) </w:t>
      </w:r>
      <w:r w:rsidRPr="00D71F93">
        <w:t>within Study Group 1</w:t>
      </w:r>
      <w:bookmarkEnd w:id="96"/>
      <w:bookmarkEnd w:id="97"/>
    </w:p>
    <w:p w14:paraId="7B08CAF8" w14:textId="77777777" w:rsidR="00B9168B" w:rsidRPr="00D71F93" w:rsidRDefault="00B9168B" w:rsidP="00B9168B">
      <w:pPr>
        <w:pStyle w:val="Normalaftertitle"/>
        <w:rPr>
          <w:lang w:eastAsia="en-GB"/>
        </w:rPr>
      </w:pPr>
      <w:r w:rsidRPr="0588217F">
        <w:rPr>
          <w:lang w:eastAsia="en-GB"/>
        </w:rPr>
        <w:t xml:space="preserve">SG1 tried to manage the revision of Appendix </w:t>
      </w:r>
      <w:r w:rsidRPr="0588217F">
        <w:rPr>
          <w:b/>
          <w:bCs/>
          <w:lang w:eastAsia="en-GB"/>
        </w:rPr>
        <w:t xml:space="preserve">28 (S7) </w:t>
      </w:r>
      <w:r w:rsidRPr="0588217F">
        <w:rPr>
          <w:lang w:eastAsia="en-GB"/>
        </w:rPr>
        <w:t xml:space="preserve">within Working Party 1A (WP 1A) but the studies ran into difficulties: </w:t>
      </w:r>
    </w:p>
    <w:p w14:paraId="1B5F83C2" w14:textId="77777777" w:rsidR="00B9168B" w:rsidRPr="00D71F93" w:rsidRDefault="00B9168B" w:rsidP="00B9168B">
      <w:pPr>
        <w:pStyle w:val="enumlev1"/>
        <w:rPr>
          <w:lang w:eastAsia="en-GB"/>
        </w:rPr>
      </w:pPr>
      <w:r w:rsidRPr="00D71F93">
        <w:rPr>
          <w:lang w:eastAsia="en-GB"/>
        </w:rPr>
        <w:t>–</w:t>
      </w:r>
      <w:r w:rsidRPr="00D71F93">
        <w:rPr>
          <w:lang w:eastAsia="en-GB"/>
        </w:rPr>
        <w:tab/>
        <w:t>Limited participation by the service groups in WP</w:t>
      </w:r>
      <w:r>
        <w:rPr>
          <w:lang w:eastAsia="en-GB"/>
        </w:rPr>
        <w:t> </w:t>
      </w:r>
      <w:r w:rsidRPr="00D71F93">
        <w:rPr>
          <w:lang w:eastAsia="en-GB"/>
        </w:rPr>
        <w:t xml:space="preserve">1A created difficulties in efficiently progressing the work.  </w:t>
      </w:r>
    </w:p>
    <w:p w14:paraId="3A4E601A" w14:textId="77777777" w:rsidR="00B9168B" w:rsidRPr="00D71F93" w:rsidRDefault="00B9168B" w:rsidP="00B9168B">
      <w:pPr>
        <w:pStyle w:val="enumlev1"/>
        <w:rPr>
          <w:lang w:eastAsia="en-GB"/>
        </w:rPr>
      </w:pPr>
      <w:r w:rsidRPr="00D71F93">
        <w:t>–</w:t>
      </w:r>
      <w:r w:rsidRPr="00D71F93">
        <w:tab/>
        <w:t>“</w:t>
      </w:r>
      <w:r w:rsidRPr="0588217F">
        <w:rPr>
          <w:i/>
          <w:iCs/>
        </w:rPr>
        <w:t>The initial absence of any graphical comparison of the coordination contours before and after the proposed changes (i.e. Appendix 28 (7) vs. Recommendation 847 and Appendix 28 (7) vs. Recommendation 620-2). Such contours had to be prepared in order to evaluate the candidate models, and this caused significant delays</w:t>
      </w:r>
      <w:r w:rsidRPr="00D71F93">
        <w:t>”</w:t>
      </w:r>
      <w:r w:rsidRPr="0588217F">
        <w:rPr>
          <w:rStyle w:val="FootnoteReference"/>
          <w:i/>
          <w:iCs/>
        </w:rPr>
        <w:t xml:space="preserve"> </w:t>
      </w:r>
      <w:r w:rsidRPr="0588217F">
        <w:rPr>
          <w:rStyle w:val="FootnoteReference"/>
          <w:i/>
          <w:iCs/>
        </w:rPr>
        <w:footnoteReference w:id="39"/>
      </w:r>
      <w:r w:rsidRPr="00D71F93">
        <w:rPr>
          <w:lang w:eastAsia="en-GB"/>
        </w:rPr>
        <w:t>.</w:t>
      </w:r>
    </w:p>
    <w:p w14:paraId="6BC988E1" w14:textId="77777777" w:rsidR="00B9168B" w:rsidRPr="00D71F93" w:rsidRDefault="00B9168B" w:rsidP="00B9168B">
      <w:pPr>
        <w:pStyle w:val="enumlev1"/>
        <w:rPr>
          <w:lang w:eastAsia="en-GB"/>
        </w:rPr>
      </w:pPr>
      <w:r w:rsidRPr="00D71F93">
        <w:rPr>
          <w:lang w:eastAsia="en-GB"/>
        </w:rPr>
        <w:t>–</w:t>
      </w:r>
      <w:r w:rsidRPr="00D71F93">
        <w:rPr>
          <w:lang w:eastAsia="en-GB"/>
        </w:rPr>
        <w:tab/>
        <w:t xml:space="preserve">Differences between users of Appendix </w:t>
      </w:r>
      <w:r w:rsidRPr="0588217F">
        <w:rPr>
          <w:b/>
          <w:bCs/>
          <w:lang w:eastAsia="en-GB"/>
        </w:rPr>
        <w:t>28</w:t>
      </w:r>
      <w:r w:rsidRPr="00D71F93">
        <w:rPr>
          <w:lang w:eastAsia="en-GB"/>
        </w:rPr>
        <w:t xml:space="preserve"> (</w:t>
      </w:r>
      <w:r w:rsidRPr="0588217F">
        <w:rPr>
          <w:b/>
          <w:bCs/>
          <w:lang w:eastAsia="en-GB"/>
        </w:rPr>
        <w:t>S7</w:t>
      </w:r>
      <w:r w:rsidRPr="00D71F93">
        <w:rPr>
          <w:lang w:eastAsia="en-GB"/>
        </w:rPr>
        <w:t>) and SG3 over the proposed changes to the propagation model.</w:t>
      </w:r>
    </w:p>
    <w:p w14:paraId="2D950BDC" w14:textId="77777777" w:rsidR="00B9168B" w:rsidRPr="00D71F93" w:rsidRDefault="00B9168B" w:rsidP="00B9168B">
      <w:pPr>
        <w:rPr>
          <w:szCs w:val="24"/>
        </w:rPr>
      </w:pPr>
      <w:r w:rsidRPr="0588217F">
        <w:rPr>
          <w:lang w:eastAsia="en-GB"/>
        </w:rPr>
        <w:t xml:space="preserve">The latter point was highlighted by two studies.  The first </w:t>
      </w:r>
      <w:r w:rsidRPr="0588217F">
        <w:t>study</w:t>
      </w:r>
      <w:r w:rsidRPr="0588217F">
        <w:rPr>
          <w:rStyle w:val="FootnoteReference"/>
        </w:rPr>
        <w:footnoteReference w:id="40"/>
      </w:r>
      <w:r w:rsidRPr="0588217F">
        <w:rPr>
          <w:rStyle w:val="FootnoteReference"/>
        </w:rPr>
        <w:t xml:space="preserve"> </w:t>
      </w:r>
      <w:r w:rsidRPr="0588217F">
        <w:t>within WP1A had demonstrated that “</w:t>
      </w:r>
      <w:r w:rsidRPr="0588217F">
        <w:rPr>
          <w:i/>
          <w:iCs/>
        </w:rPr>
        <w:t xml:space="preserve">the </w:t>
      </w:r>
      <w:r w:rsidRPr="0588217F">
        <w:rPr>
          <w:rFonts w:eastAsia="Droid Sans" w:cs="Arial"/>
          <w:i/>
          <w:iCs/>
          <w:color w:val="000000" w:themeColor="text1"/>
        </w:rPr>
        <w:t>models adopted for operational use within Appendix 28 and Recommendation 847 were in fact based on far less conservative assumptions than were currently being used by WP3M</w:t>
      </w:r>
      <w:r w:rsidRPr="0588217F">
        <w:rPr>
          <w:rFonts w:eastAsia="Droid Sans" w:cs="Arial"/>
          <w:color w:val="000000" w:themeColor="text1"/>
        </w:rPr>
        <w:t>” and “</w:t>
      </w:r>
      <w:r w:rsidRPr="0588217F">
        <w:rPr>
          <w:rFonts w:eastAsia="Droid Sans" w:cs="Arial"/>
          <w:i/>
          <w:iCs/>
          <w:color w:val="000000" w:themeColor="text1"/>
        </w:rPr>
        <w:t>led to excessive inland coordination distances that could not be adopted on the basis of the now extensive operational experience</w:t>
      </w:r>
      <w:r w:rsidRPr="0588217F">
        <w:rPr>
          <w:rFonts w:eastAsia="Droid Sans" w:cs="Arial"/>
          <w:color w:val="000000" w:themeColor="text1"/>
        </w:rPr>
        <w:t>”.</w:t>
      </w:r>
    </w:p>
    <w:p w14:paraId="49F4D4F5" w14:textId="77777777" w:rsidR="00B9168B" w:rsidRPr="00D71F93" w:rsidRDefault="00B9168B" w:rsidP="00B9168B">
      <w:pPr>
        <w:rPr>
          <w:rFonts w:eastAsia="Droid Sans" w:cs="Arial"/>
          <w:color w:val="000000" w:themeColor="text1"/>
        </w:rPr>
      </w:pPr>
      <w:r w:rsidRPr="00D71F93">
        <w:rPr>
          <w:color w:val="000000" w:themeColor="text1"/>
          <w:lang w:eastAsia="en-GB"/>
        </w:rPr>
        <w:t>A second study</w:t>
      </w:r>
      <w:r w:rsidRPr="00D71F93">
        <w:rPr>
          <w:rStyle w:val="FootnoteReference"/>
          <w:color w:val="000000" w:themeColor="text1"/>
          <w:lang w:eastAsia="en-GB"/>
        </w:rPr>
        <w:footnoteReference w:id="41"/>
      </w:r>
      <w:r w:rsidRPr="00D71F93">
        <w:rPr>
          <w:color w:val="000000" w:themeColor="text1"/>
          <w:lang w:eastAsia="en-GB"/>
        </w:rPr>
        <w:t xml:space="preserve"> from the Director of the Radiocommunication Bureau also showed that “</w:t>
      </w:r>
      <w:r w:rsidRPr="0588217F">
        <w:rPr>
          <w:rFonts w:eastAsia="Droid Sans" w:cs="Arial"/>
          <w:i/>
          <w:iCs/>
          <w:color w:val="000000" w:themeColor="text1"/>
        </w:rPr>
        <w:t xml:space="preserve">the </w:t>
      </w:r>
      <w:r w:rsidRPr="0588217F">
        <w:rPr>
          <w:i/>
          <w:iCs/>
        </w:rPr>
        <w:t>coordination distances produced by Recommendation </w:t>
      </w:r>
      <w:r w:rsidRPr="0588217F">
        <w:rPr>
          <w:i/>
          <w:iCs/>
          <w:lang w:eastAsia="en-GB"/>
        </w:rPr>
        <w:t>ITU-R</w:t>
      </w:r>
      <w:r w:rsidRPr="00D71F93">
        <w:rPr>
          <w:lang w:eastAsia="en-GB"/>
        </w:rPr>
        <w:t xml:space="preserve"> </w:t>
      </w:r>
      <w:r w:rsidRPr="0588217F">
        <w:rPr>
          <w:i/>
          <w:iCs/>
        </w:rPr>
        <w:t>PN.620-2 for land paths are significantly larger than the ones produced by either Appendix </w:t>
      </w:r>
      <w:r w:rsidRPr="0588217F">
        <w:rPr>
          <w:b/>
          <w:bCs/>
          <w:i/>
          <w:iCs/>
        </w:rPr>
        <w:t>28</w:t>
      </w:r>
      <w:r w:rsidRPr="0588217F">
        <w:rPr>
          <w:i/>
          <w:iCs/>
        </w:rPr>
        <w:t xml:space="preserve"> of the Radio Regulations or Recommendation </w:t>
      </w:r>
      <w:r w:rsidRPr="0588217F">
        <w:rPr>
          <w:i/>
          <w:iCs/>
          <w:lang w:eastAsia="en-GB"/>
        </w:rPr>
        <w:t xml:space="preserve">ITU-R </w:t>
      </w:r>
      <w:r w:rsidRPr="0588217F">
        <w:rPr>
          <w:i/>
          <w:iCs/>
        </w:rPr>
        <w:t xml:space="preserve">IS.847. The latter two methods feature limits on the coordination distance that depend on the type of path, i.e. land or sea. In order to ensure that any new version of Recommendation </w:t>
      </w:r>
      <w:r w:rsidRPr="0588217F">
        <w:rPr>
          <w:i/>
          <w:iCs/>
          <w:lang w:eastAsia="en-GB"/>
        </w:rPr>
        <w:t xml:space="preserve">ITU-R </w:t>
      </w:r>
      <w:r w:rsidRPr="0588217F">
        <w:rPr>
          <w:i/>
          <w:iCs/>
        </w:rPr>
        <w:t>IS.847 or of Appendix </w:t>
      </w:r>
      <w:r w:rsidRPr="0588217F">
        <w:rPr>
          <w:b/>
          <w:bCs/>
          <w:i/>
          <w:iCs/>
        </w:rPr>
        <w:t>28</w:t>
      </w:r>
      <w:r w:rsidRPr="0588217F">
        <w:rPr>
          <w:i/>
          <w:iCs/>
        </w:rPr>
        <w:t xml:space="preserve"> does not produce coordination distances three or four times as large as the ones produced by the current Appendix </w:t>
      </w:r>
      <w:r w:rsidRPr="0588217F">
        <w:rPr>
          <w:b/>
          <w:bCs/>
          <w:i/>
          <w:iCs/>
        </w:rPr>
        <w:t>28</w:t>
      </w:r>
      <w:r w:rsidRPr="0588217F">
        <w:rPr>
          <w:i/>
          <w:iCs/>
        </w:rPr>
        <w:t>, it is essential that this feature is retained</w:t>
      </w:r>
      <w:r w:rsidRPr="00D71F93">
        <w:t>”</w:t>
      </w:r>
      <w:r w:rsidRPr="0588217F">
        <w:rPr>
          <w:rFonts w:eastAsia="Droid Sans" w:cs="Arial"/>
          <w:color w:val="000000" w:themeColor="text1"/>
        </w:rPr>
        <w:t>. Further that, “</w:t>
      </w:r>
      <w:r w:rsidRPr="0588217F">
        <w:rPr>
          <w:rFonts w:eastAsia="Droid Sans" w:cs="Arial"/>
          <w:i/>
          <w:iCs/>
          <w:color w:val="000000" w:themeColor="text1"/>
        </w:rPr>
        <w:t>even with such maximum limits on the coordination distance Recommendation </w:t>
      </w:r>
      <w:r w:rsidRPr="0588217F">
        <w:rPr>
          <w:i/>
          <w:iCs/>
          <w:lang w:eastAsia="en-GB"/>
        </w:rPr>
        <w:t>ITU-R</w:t>
      </w:r>
      <w:r w:rsidRPr="00D71F93">
        <w:rPr>
          <w:lang w:eastAsia="en-GB"/>
        </w:rPr>
        <w:t xml:space="preserve"> </w:t>
      </w:r>
      <w:r w:rsidRPr="0588217F">
        <w:rPr>
          <w:i/>
          <w:iCs/>
        </w:rPr>
        <w:t>PN.</w:t>
      </w:r>
      <w:r w:rsidRPr="0588217F">
        <w:rPr>
          <w:rFonts w:eastAsia="Droid Sans" w:cs="Arial"/>
          <w:i/>
          <w:iCs/>
          <w:color w:val="000000" w:themeColor="text1"/>
        </w:rPr>
        <w:t>620-2 will give coordination distances that in some cases are 200 km larger than the current ones”</w:t>
      </w:r>
      <w:r w:rsidRPr="0588217F">
        <w:rPr>
          <w:rFonts w:eastAsia="Droid Sans" w:cs="Arial"/>
          <w:color w:val="000000" w:themeColor="text1"/>
        </w:rPr>
        <w:t xml:space="preserve">. </w:t>
      </w:r>
    </w:p>
    <w:p w14:paraId="509A9345" w14:textId="77777777" w:rsidR="00B9168B" w:rsidRPr="00D71F93" w:rsidRDefault="00B9168B" w:rsidP="00B9168B">
      <w:pPr>
        <w:rPr>
          <w:lang w:eastAsia="en-GB"/>
        </w:rPr>
      </w:pPr>
      <w:r w:rsidRPr="0588217F">
        <w:rPr>
          <w:rFonts w:eastAsia="Droid Sans" w:cs="Arial"/>
          <w:color w:val="000000" w:themeColor="text1"/>
        </w:rPr>
        <w:t>The study concluded that “</w:t>
      </w:r>
      <w:r w:rsidRPr="0588217F">
        <w:rPr>
          <w:rFonts w:eastAsia="Droid Sans" w:cs="Arial"/>
          <w:i/>
          <w:iCs/>
          <w:color w:val="000000" w:themeColor="text1"/>
        </w:rPr>
        <w:t xml:space="preserve">accepting the new larger distances implies an admission that the current smaller coordination distances are "wrong", although the experience over the last fifteen years with Appendix 28 shows that they are adequate.” </w:t>
      </w:r>
      <w:r w:rsidRPr="0588217F">
        <w:rPr>
          <w:rFonts w:eastAsia="Droid Sans" w:cs="Arial"/>
          <w:color w:val="000000" w:themeColor="text1"/>
        </w:rPr>
        <w:t>The study also concluded</w:t>
      </w:r>
      <w:r w:rsidRPr="0588217F">
        <w:rPr>
          <w:rFonts w:eastAsia="Droid Sans" w:cs="Arial"/>
          <w:i/>
          <w:iCs/>
          <w:color w:val="000000" w:themeColor="text1"/>
        </w:rPr>
        <w:t>, “the main argument for adopting Recommendation </w:t>
      </w:r>
      <w:r w:rsidRPr="0588217F">
        <w:rPr>
          <w:i/>
          <w:iCs/>
          <w:lang w:eastAsia="en-GB"/>
        </w:rPr>
        <w:t xml:space="preserve">ITU-R </w:t>
      </w:r>
      <w:r w:rsidRPr="0588217F">
        <w:rPr>
          <w:rFonts w:eastAsia="Droid Sans" w:cs="Arial"/>
          <w:i/>
          <w:iCs/>
          <w:color w:val="000000" w:themeColor="text1"/>
        </w:rPr>
        <w:t>PN.620-2 is that it produces results that are compatible with the results of Recommendation </w:t>
      </w:r>
      <w:r w:rsidRPr="0588217F">
        <w:rPr>
          <w:i/>
          <w:iCs/>
          <w:lang w:eastAsia="en-GB"/>
        </w:rPr>
        <w:t xml:space="preserve">ITU-R </w:t>
      </w:r>
      <w:r w:rsidRPr="0588217F">
        <w:rPr>
          <w:rFonts w:eastAsia="Droid Sans" w:cs="Arial"/>
          <w:i/>
          <w:iCs/>
          <w:color w:val="000000" w:themeColor="text1"/>
        </w:rPr>
        <w:t>PN.452-7. The main argument against is that larger coordination distances will increase the burden on administrations to do detailed coordination”</w:t>
      </w:r>
      <w:r w:rsidRPr="0588217F">
        <w:rPr>
          <w:rFonts w:eastAsia="Droid Sans" w:cs="Arial"/>
          <w:color w:val="000000" w:themeColor="text1"/>
        </w:rPr>
        <w:t>.</w:t>
      </w:r>
    </w:p>
    <w:p w14:paraId="551096DB" w14:textId="77777777" w:rsidR="00B9168B" w:rsidRPr="00D71F93" w:rsidRDefault="00B9168B" w:rsidP="00B9168B">
      <w:pPr>
        <w:tabs>
          <w:tab w:val="left" w:pos="1"/>
          <w:tab w:val="left" w:pos="567"/>
          <w:tab w:val="left" w:pos="1440"/>
          <w:tab w:val="left" w:pos="1701"/>
          <w:tab w:val="left" w:pos="2160"/>
          <w:tab w:val="left" w:pos="2835"/>
          <w:tab w:val="left" w:pos="2880"/>
          <w:tab w:val="left" w:pos="3600"/>
          <w:tab w:val="left" w:pos="4320"/>
          <w:tab w:val="left" w:pos="5040"/>
          <w:tab w:val="left" w:pos="5760"/>
          <w:tab w:val="left" w:pos="6480"/>
          <w:tab w:val="left" w:pos="7200"/>
          <w:tab w:val="left" w:pos="7920"/>
          <w:tab w:val="left" w:pos="8640"/>
          <w:tab w:val="left" w:pos="9360"/>
        </w:tabs>
        <w:rPr>
          <w:i/>
          <w:iCs/>
          <w:lang w:eastAsia="en-GB"/>
        </w:rPr>
      </w:pPr>
      <w:r w:rsidRPr="0588217F">
        <w:rPr>
          <w:lang w:eastAsia="en-GB"/>
        </w:rPr>
        <w:lastRenderedPageBreak/>
        <w:t xml:space="preserve">By 1997 SG 1 acknowledged difficulties with the revision of </w:t>
      </w:r>
      <w:r>
        <w:t xml:space="preserve">Appendix </w:t>
      </w:r>
      <w:r w:rsidRPr="0588217F">
        <w:rPr>
          <w:b/>
          <w:bCs/>
        </w:rPr>
        <w:t>28 (S7)</w:t>
      </w:r>
      <w:r>
        <w:t xml:space="preserve"> </w:t>
      </w:r>
      <w:r w:rsidRPr="0588217F">
        <w:rPr>
          <w:lang w:eastAsia="en-GB"/>
        </w:rPr>
        <w:t>in “</w:t>
      </w:r>
      <w:r w:rsidRPr="0588217F">
        <w:rPr>
          <w:i/>
          <w:iCs/>
          <w:lang w:eastAsia="en-GB"/>
        </w:rPr>
        <w:t xml:space="preserve">the following three general areas of the current </w:t>
      </w:r>
      <w:r w:rsidRPr="0588217F">
        <w:rPr>
          <w:i/>
          <w:iCs/>
        </w:rPr>
        <w:t xml:space="preserve">Appendix </w:t>
      </w:r>
      <w:r w:rsidRPr="0588217F">
        <w:rPr>
          <w:lang w:eastAsia="en-GB"/>
        </w:rPr>
        <w:t>S7</w:t>
      </w:r>
      <w:r w:rsidRPr="0588217F">
        <w:rPr>
          <w:i/>
          <w:iCs/>
          <w:lang w:eastAsia="en-GB"/>
        </w:rPr>
        <w:t xml:space="preserve"> and the relevant Recommendations:</w:t>
      </w:r>
    </w:p>
    <w:p w14:paraId="787832C3" w14:textId="77777777" w:rsidR="00B9168B" w:rsidRPr="00D71F93" w:rsidRDefault="00B9168B" w:rsidP="00B9168B">
      <w:pPr>
        <w:pStyle w:val="enumlev1"/>
        <w:rPr>
          <w:i/>
          <w:iCs/>
          <w:lang w:eastAsia="en-GB"/>
        </w:rPr>
      </w:pPr>
      <w:r w:rsidRPr="0588217F">
        <w:rPr>
          <w:i/>
          <w:iCs/>
        </w:rPr>
        <w:t>–</w:t>
      </w:r>
      <w:r w:rsidRPr="00D71F93">
        <w:rPr>
          <w:i/>
          <w:szCs w:val="24"/>
        </w:rPr>
        <w:tab/>
      </w:r>
      <w:r w:rsidRPr="0588217F">
        <w:rPr>
          <w:i/>
          <w:iCs/>
          <w:lang w:eastAsia="en-GB"/>
        </w:rPr>
        <w:t>propagation considerations and the implications for coordination;</w:t>
      </w:r>
    </w:p>
    <w:p w14:paraId="36404F90" w14:textId="77777777" w:rsidR="00B9168B" w:rsidRPr="00D71F93" w:rsidRDefault="00B9168B" w:rsidP="00B9168B">
      <w:pPr>
        <w:pStyle w:val="enumlev1"/>
        <w:rPr>
          <w:i/>
          <w:iCs/>
          <w:lang w:eastAsia="en-GB"/>
        </w:rPr>
      </w:pPr>
      <w:r w:rsidRPr="0588217F">
        <w:rPr>
          <w:i/>
          <w:iCs/>
        </w:rPr>
        <w:t>–</w:t>
      </w:r>
      <w:r w:rsidRPr="00D71F93">
        <w:rPr>
          <w:i/>
          <w:iCs/>
          <w:szCs w:val="24"/>
        </w:rPr>
        <w:tab/>
      </w:r>
      <w:r w:rsidRPr="0588217F">
        <w:rPr>
          <w:i/>
          <w:iCs/>
          <w:lang w:eastAsia="en-GB"/>
        </w:rPr>
        <w:t>expansion of the scope of the Recommendations to accommodate new requirements;</w:t>
      </w:r>
    </w:p>
    <w:p w14:paraId="5C39105E" w14:textId="77777777" w:rsidR="00B9168B" w:rsidRPr="00D71F93" w:rsidRDefault="00B9168B" w:rsidP="00B9168B">
      <w:pPr>
        <w:pStyle w:val="enumlev1"/>
        <w:rPr>
          <w:lang w:eastAsia="en-GB"/>
        </w:rPr>
      </w:pPr>
      <w:r w:rsidRPr="0588217F">
        <w:rPr>
          <w:i/>
          <w:iCs/>
        </w:rPr>
        <w:t>–</w:t>
      </w:r>
      <w:r w:rsidRPr="00D71F93">
        <w:rPr>
          <w:i/>
          <w:iCs/>
          <w:szCs w:val="24"/>
        </w:rPr>
        <w:tab/>
      </w:r>
      <w:r w:rsidRPr="0588217F">
        <w:rPr>
          <w:i/>
          <w:iCs/>
          <w:lang w:eastAsia="en-GB"/>
        </w:rPr>
        <w:t>application of Recommendation ITU-R IS.849-1 to earth stations of NGSO communications systems</w:t>
      </w:r>
      <w:r w:rsidRPr="0588217F">
        <w:rPr>
          <w:lang w:eastAsia="en-GB"/>
        </w:rPr>
        <w:t>”.</w:t>
      </w:r>
    </w:p>
    <w:p w14:paraId="1435C3D0" w14:textId="77777777" w:rsidR="00B9168B" w:rsidRPr="00D71F93" w:rsidRDefault="00B9168B" w:rsidP="00B9168B">
      <w:pPr>
        <w:tabs>
          <w:tab w:val="left" w:pos="1"/>
          <w:tab w:val="left" w:pos="567"/>
          <w:tab w:val="left" w:pos="1440"/>
          <w:tab w:val="left" w:pos="1701"/>
          <w:tab w:val="left" w:pos="2160"/>
          <w:tab w:val="left" w:pos="2835"/>
          <w:tab w:val="left" w:pos="2880"/>
          <w:tab w:val="left" w:pos="3600"/>
          <w:tab w:val="left" w:pos="4320"/>
          <w:tab w:val="left" w:pos="5040"/>
          <w:tab w:val="left" w:pos="5760"/>
          <w:tab w:val="left" w:pos="6480"/>
          <w:tab w:val="left" w:pos="7200"/>
          <w:tab w:val="left" w:pos="7920"/>
          <w:tab w:val="left" w:pos="8640"/>
          <w:tab w:val="left" w:pos="9360"/>
        </w:tabs>
        <w:rPr>
          <w:lang w:eastAsia="en-GB"/>
        </w:rPr>
      </w:pPr>
      <w:r w:rsidRPr="0588217F">
        <w:rPr>
          <w:lang w:eastAsia="en-GB"/>
        </w:rPr>
        <w:t>SG 1 reported</w:t>
      </w:r>
      <w:r w:rsidRPr="0588217F">
        <w:rPr>
          <w:rStyle w:val="FootnoteReference"/>
          <w:lang w:eastAsia="en-GB"/>
        </w:rPr>
        <w:footnoteReference w:id="42"/>
      </w:r>
      <w:r w:rsidRPr="0588217F">
        <w:rPr>
          <w:lang w:eastAsia="en-GB"/>
        </w:rPr>
        <w:t xml:space="preserve"> to CPM 97-2 that “</w:t>
      </w:r>
      <w:r w:rsidRPr="0588217F">
        <w:rPr>
          <w:i/>
          <w:iCs/>
          <w:lang w:eastAsia="en-GB"/>
        </w:rPr>
        <w:t xml:space="preserve">based upon these considerations, the majority of Administrations did not consider that these Recommendations, without the necessary updating, are ready to be proposed as material for updating Appendix </w:t>
      </w:r>
      <w:r w:rsidRPr="0588217F">
        <w:rPr>
          <w:b/>
          <w:bCs/>
          <w:i/>
          <w:iCs/>
          <w:lang w:eastAsia="en-GB"/>
        </w:rPr>
        <w:t>S7</w:t>
      </w:r>
      <w:r w:rsidRPr="0588217F">
        <w:rPr>
          <w:lang w:eastAsia="en-GB"/>
        </w:rPr>
        <w:t>”. The CPM Report to WRC 97 subsequently stating “</w:t>
      </w:r>
      <w:r w:rsidRPr="0588217F">
        <w:rPr>
          <w:i/>
          <w:iCs/>
          <w:lang w:eastAsia="en-GB"/>
        </w:rPr>
        <w:t xml:space="preserve">the majority of administrations were of the opinion that there was not sufficient material for updating Appendix </w:t>
      </w:r>
      <w:r w:rsidRPr="0588217F">
        <w:rPr>
          <w:b/>
          <w:bCs/>
          <w:i/>
          <w:iCs/>
          <w:lang w:eastAsia="en-GB"/>
        </w:rPr>
        <w:t>S7</w:t>
      </w:r>
      <w:r w:rsidRPr="0588217F">
        <w:rPr>
          <w:i/>
          <w:iCs/>
          <w:lang w:eastAsia="en-GB"/>
        </w:rPr>
        <w:t xml:space="preserve">; it is therefore recommended to postpone the revision of Appendix </w:t>
      </w:r>
      <w:r w:rsidRPr="0588217F">
        <w:rPr>
          <w:b/>
          <w:bCs/>
          <w:i/>
          <w:iCs/>
          <w:lang w:eastAsia="en-GB"/>
        </w:rPr>
        <w:t>S7</w:t>
      </w:r>
      <w:r w:rsidRPr="0588217F">
        <w:rPr>
          <w:i/>
          <w:iCs/>
          <w:lang w:eastAsia="en-GB"/>
        </w:rPr>
        <w:t xml:space="preserve"> until WRC-99 to reflect the work completed by that time”</w:t>
      </w:r>
      <w:r w:rsidRPr="0588217F">
        <w:rPr>
          <w:lang w:eastAsia="en-GB"/>
        </w:rPr>
        <w:t>.</w:t>
      </w:r>
    </w:p>
    <w:p w14:paraId="6DA5B7FC" w14:textId="77777777" w:rsidR="00B9168B" w:rsidRPr="00D71F93" w:rsidRDefault="00B9168B" w:rsidP="00B9168B">
      <w:pPr>
        <w:rPr>
          <w:lang w:eastAsia="en-GB"/>
        </w:rPr>
      </w:pPr>
      <w:r w:rsidRPr="0588217F">
        <w:rPr>
          <w:lang w:eastAsia="en-GB"/>
        </w:rPr>
        <w:t>SG 1 proposed to resolve the above difficulties by setting up TG</w:t>
      </w:r>
      <w:r w:rsidR="00EA567C">
        <w:rPr>
          <w:lang w:eastAsia="en-GB"/>
        </w:rPr>
        <w:t> </w:t>
      </w:r>
      <w:r w:rsidRPr="0588217F">
        <w:rPr>
          <w:lang w:eastAsia="en-GB"/>
        </w:rPr>
        <w:t xml:space="preserve">1/6 and also to extend the remit of the revision of Appendix </w:t>
      </w:r>
      <w:r w:rsidRPr="0588217F">
        <w:rPr>
          <w:b/>
          <w:bCs/>
          <w:lang w:eastAsia="en-GB"/>
        </w:rPr>
        <w:t>28 (S7)</w:t>
      </w:r>
      <w:r w:rsidRPr="0588217F">
        <w:rPr>
          <w:lang w:eastAsia="en-GB"/>
        </w:rPr>
        <w:t xml:space="preserve"> to cover additionally the frequency bands 100 MHz – 1 GHz and 40 GHz – 105 GHz. </w:t>
      </w:r>
    </w:p>
    <w:p w14:paraId="09902BF2" w14:textId="77777777" w:rsidR="00B9168B" w:rsidRDefault="00B9168B" w:rsidP="00B9168B">
      <w:pPr>
        <w:rPr>
          <w:b/>
          <w:bCs/>
        </w:rPr>
      </w:pPr>
      <w:r w:rsidRPr="0588217F">
        <w:rPr>
          <w:lang w:eastAsia="en-GB"/>
        </w:rPr>
        <w:t>Although the creation of TG 1/6, with meetings aligned in time and co-located with those of the service groups, resolved participation and some communication problems it did not resolve all communication problems. Nor did it immediately resolve the difficulties</w:t>
      </w:r>
      <w:r w:rsidRPr="00D71F93">
        <w:rPr>
          <w:rStyle w:val="FootnoteReference"/>
          <w:lang w:eastAsia="en-GB"/>
        </w:rPr>
        <w:footnoteReference w:id="43"/>
      </w:r>
      <w:r w:rsidRPr="00D71F93">
        <w:rPr>
          <w:lang w:eastAsia="en-GB"/>
        </w:rPr>
        <w:t xml:space="preserve"> identified by </w:t>
      </w:r>
      <w:r w:rsidRPr="0588217F">
        <w:rPr>
          <w:lang w:eastAsia="en-GB"/>
        </w:rPr>
        <w:t xml:space="preserve">SG1 </w:t>
      </w:r>
      <w:r w:rsidRPr="00D71F93">
        <w:rPr>
          <w:lang w:eastAsia="en-GB"/>
        </w:rPr>
        <w:t xml:space="preserve">in </w:t>
      </w:r>
      <w:r w:rsidRPr="00D71F93">
        <w:t>Document CPM97/8</w:t>
      </w:r>
      <w:r w:rsidRPr="0588217F">
        <w:t xml:space="preserve"> </w:t>
      </w:r>
      <w:r w:rsidRPr="0588217F">
        <w:noBreakHyphen/>
        <w:t xml:space="preserve"> </w:t>
      </w:r>
      <w:r w:rsidRPr="00D71F93">
        <w:rPr>
          <w:lang w:eastAsia="en-GB"/>
        </w:rPr>
        <w:t>some of the text in the IS Recommendations was considered less than clear, “</w:t>
      </w:r>
      <w:r w:rsidRPr="0588217F">
        <w:rPr>
          <w:i/>
          <w:iCs/>
          <w:lang w:eastAsia="en-GB"/>
        </w:rPr>
        <w:t>to the extent that it was difficult to see how some sections could ever have been translated</w:t>
      </w:r>
      <w:r w:rsidRPr="00D71F93">
        <w:rPr>
          <w:lang w:eastAsia="en-GB"/>
        </w:rPr>
        <w:t>”</w:t>
      </w:r>
      <w:r w:rsidRPr="00D71F93">
        <w:rPr>
          <w:rStyle w:val="FootnoteReference"/>
          <w:lang w:eastAsia="en-GB"/>
        </w:rPr>
        <w:footnoteReference w:id="44"/>
      </w:r>
      <w:r w:rsidRPr="00D71F93">
        <w:rPr>
          <w:lang w:eastAsia="en-GB"/>
        </w:rPr>
        <w:t xml:space="preserve">.  Also despite </w:t>
      </w:r>
      <w:r>
        <w:rPr>
          <w:lang w:eastAsia="en-GB"/>
        </w:rPr>
        <w:t>co-operative</w:t>
      </w:r>
      <w:r w:rsidRPr="00D71F93">
        <w:rPr>
          <w:lang w:eastAsia="en-GB"/>
        </w:rPr>
        <w:t xml:space="preserve"> liaison statements between TG</w:t>
      </w:r>
      <w:r>
        <w:rPr>
          <w:lang w:eastAsia="en-GB"/>
        </w:rPr>
        <w:t> </w:t>
      </w:r>
      <w:r w:rsidRPr="00D71F93">
        <w:rPr>
          <w:lang w:eastAsia="en-GB"/>
        </w:rPr>
        <w:t>1/6 and WP</w:t>
      </w:r>
      <w:r>
        <w:rPr>
          <w:lang w:eastAsia="en-GB"/>
        </w:rPr>
        <w:t> </w:t>
      </w:r>
      <w:r w:rsidRPr="00D71F93">
        <w:rPr>
          <w:lang w:eastAsia="en-GB"/>
        </w:rPr>
        <w:t>3M, resistance to adopting the revised version of Recommendation ITU-R P.620 continued until the original penultimate</w:t>
      </w:r>
      <w:r w:rsidRPr="00D71F93">
        <w:rPr>
          <w:rStyle w:val="FootnoteReference"/>
          <w:lang w:eastAsia="en-GB"/>
        </w:rPr>
        <w:footnoteReference w:id="45"/>
      </w:r>
      <w:r w:rsidRPr="00D71F93">
        <w:rPr>
          <w:lang w:eastAsia="en-GB"/>
        </w:rPr>
        <w:t xml:space="preserve"> meeting</w:t>
      </w:r>
      <w:r w:rsidRPr="0588217F">
        <w:rPr>
          <w:b/>
          <w:bCs/>
        </w:rPr>
        <w:t>.</w:t>
      </w:r>
    </w:p>
    <w:p w14:paraId="7AF29DE1" w14:textId="77777777" w:rsidR="00B9168B" w:rsidRDefault="00B9168B" w:rsidP="00B9168B">
      <w:pPr>
        <w:tabs>
          <w:tab w:val="clear" w:pos="1134"/>
          <w:tab w:val="clear" w:pos="1871"/>
          <w:tab w:val="clear" w:pos="2268"/>
        </w:tabs>
        <w:overflowPunct/>
        <w:autoSpaceDE/>
        <w:autoSpaceDN/>
        <w:adjustRightInd/>
        <w:spacing w:before="0"/>
        <w:textAlignment w:val="auto"/>
        <w:rPr>
          <w:b/>
          <w:szCs w:val="24"/>
        </w:rPr>
      </w:pPr>
      <w:r>
        <w:rPr>
          <w:b/>
          <w:szCs w:val="24"/>
        </w:rPr>
        <w:br w:type="page"/>
      </w:r>
    </w:p>
    <w:p w14:paraId="489FBF11" w14:textId="77777777" w:rsidR="00B9168B" w:rsidRPr="007D0EBE" w:rsidRDefault="00B9168B" w:rsidP="00EB62A4">
      <w:pPr>
        <w:pStyle w:val="AnnexNo"/>
      </w:pPr>
      <w:r>
        <w:lastRenderedPageBreak/>
        <w:t>ATTACHMENT 2</w:t>
      </w:r>
    </w:p>
    <w:p w14:paraId="3371D29B" w14:textId="77777777" w:rsidR="00B9168B" w:rsidRDefault="00B9168B" w:rsidP="00EB62A4">
      <w:pPr>
        <w:pStyle w:val="Annextitle"/>
      </w:pPr>
      <w:r w:rsidRPr="0588217F">
        <w:t>Revisions to Recommendation ITU-R SM.1448-0 (2015-2019)</w:t>
      </w:r>
    </w:p>
    <w:p w14:paraId="30A95F93" w14:textId="77777777" w:rsidR="00B9168B" w:rsidRPr="00D478CF" w:rsidRDefault="00B9168B" w:rsidP="00B9168B">
      <w:r>
        <w:t xml:space="preserve">Purpose: To update Recommendation ITU-R SM.1448-0 with modifications made to the text when the Recommendation was incorporated into Appendix </w:t>
      </w:r>
      <w:r w:rsidRPr="0588217F">
        <w:rPr>
          <w:b/>
          <w:bCs/>
        </w:rPr>
        <w:t>7</w:t>
      </w:r>
      <w:r>
        <w:t xml:space="preserve"> of the Radio Regulations.</w:t>
      </w:r>
    </w:p>
    <w:p w14:paraId="6CC44704" w14:textId="77777777" w:rsidR="00B9168B" w:rsidRPr="007D0EBE" w:rsidRDefault="00B9168B" w:rsidP="00EA567C">
      <w:pPr>
        <w:pStyle w:val="Heading1"/>
      </w:pPr>
      <w:r w:rsidRPr="0588217F">
        <w:t>1</w:t>
      </w:r>
      <w:r w:rsidRPr="007D0EBE">
        <w:tab/>
      </w:r>
      <w:r w:rsidRPr="0588217F">
        <w:t>Overview</w:t>
      </w:r>
    </w:p>
    <w:p w14:paraId="40E562A2" w14:textId="77777777" w:rsidR="00B9168B" w:rsidRDefault="00B9168B" w:rsidP="00B9168B">
      <w:r>
        <w:t xml:space="preserve">The modifications were in three areas (Noting: some of the texts impacted were not included in Appendix </w:t>
      </w:r>
      <w:r w:rsidRPr="0588217F">
        <w:rPr>
          <w:b/>
          <w:bCs/>
        </w:rPr>
        <w:t>7</w:t>
      </w:r>
      <w:r>
        <w:t>):</w:t>
      </w:r>
    </w:p>
    <w:p w14:paraId="3B05B632" w14:textId="77777777" w:rsidR="00B9168B" w:rsidRDefault="00EA567C" w:rsidP="00EA567C">
      <w:pPr>
        <w:pStyle w:val="enumlev1"/>
      </w:pPr>
      <w:r>
        <w:t>•</w:t>
      </w:r>
      <w:r>
        <w:tab/>
      </w:r>
      <w:r w:rsidR="00B9168B">
        <w:t xml:space="preserve">alignment with the texts of </w:t>
      </w:r>
      <w:r w:rsidR="00897338">
        <w:t xml:space="preserve">Appendix </w:t>
      </w:r>
      <w:r w:rsidR="00897338" w:rsidRPr="000A242C">
        <w:rPr>
          <w:b/>
        </w:rPr>
        <w:t>7</w:t>
      </w:r>
      <w:r w:rsidR="00897338">
        <w:t xml:space="preserve"> (</w:t>
      </w:r>
      <w:r w:rsidR="00897338" w:rsidRPr="000A242C">
        <w:rPr>
          <w:b/>
        </w:rPr>
        <w:t>Rev.WRC-15</w:t>
      </w:r>
      <w:r w:rsidR="00897338">
        <w:t xml:space="preserve">) </w:t>
      </w:r>
      <w:r w:rsidR="00B9168B">
        <w:t xml:space="preserve">the Radio Regulations; </w:t>
      </w:r>
    </w:p>
    <w:p w14:paraId="652B71BB" w14:textId="2DC2936D" w:rsidR="00B9168B" w:rsidRDefault="00EA567C" w:rsidP="00EA567C">
      <w:pPr>
        <w:pStyle w:val="enumlev1"/>
      </w:pPr>
      <w:r>
        <w:t>•</w:t>
      </w:r>
      <w:r>
        <w:tab/>
      </w:r>
      <w:r w:rsidR="00B9168B">
        <w:t>either editorial modifications (e.g. ITU-R Recommendations normally no longer use the term Appendix due to potential confusion with the Radio Regulations) or other alignments of text associated with RR modifications; and,</w:t>
      </w:r>
    </w:p>
    <w:p w14:paraId="4EB6FD68" w14:textId="77777777" w:rsidR="00B9168B" w:rsidRDefault="00EA567C" w:rsidP="00EA567C">
      <w:pPr>
        <w:pStyle w:val="enumlev1"/>
      </w:pPr>
      <w:r>
        <w:t>•</w:t>
      </w:r>
      <w:r>
        <w:tab/>
      </w:r>
      <w:r w:rsidR="00B9168B">
        <w:t>additional modifications for the purpose of clarification in the Recommendation, alignment between different sections of the Recommendation arising from inconsistencies in Recommendation ITU-R SM.1448-0 and decisions of WRC-2000 on the text for Appendix </w:t>
      </w:r>
      <w:r w:rsidR="00B9168B" w:rsidRPr="0588217F">
        <w:rPr>
          <w:b/>
          <w:bCs/>
        </w:rPr>
        <w:t>7</w:t>
      </w:r>
      <w:r w:rsidR="00B9168B">
        <w:t xml:space="preserve"> or other provisions of the Radio Regulations.</w:t>
      </w:r>
    </w:p>
    <w:p w14:paraId="5D245CE4" w14:textId="77777777" w:rsidR="00B9168B" w:rsidRDefault="00897338" w:rsidP="00B9168B">
      <w:r w:rsidRPr="00310FCA">
        <w:t xml:space="preserve">Resolution </w:t>
      </w:r>
      <w:r w:rsidRPr="00310FCA">
        <w:rPr>
          <w:b/>
          <w:bCs/>
        </w:rPr>
        <w:t>74</w:t>
      </w:r>
      <w:r w:rsidRPr="00310FCA">
        <w:t xml:space="preserve"> (</w:t>
      </w:r>
      <w:r w:rsidRPr="00310FCA">
        <w:rPr>
          <w:b/>
          <w:bCs/>
        </w:rPr>
        <w:t>Rev.WRC</w:t>
      </w:r>
      <w:r w:rsidRPr="00310FCA">
        <w:rPr>
          <w:b/>
          <w:bCs/>
        </w:rPr>
        <w:noBreakHyphen/>
        <w:t xml:space="preserve">03) </w:t>
      </w:r>
      <w:r w:rsidRPr="00DF1D1F">
        <w:rPr>
          <w:bCs/>
          <w:i/>
        </w:rPr>
        <w:t>invites the ITU-R</w:t>
      </w:r>
      <w:r w:rsidRPr="00310FCA">
        <w:rPr>
          <w:i/>
          <w:iCs/>
        </w:rPr>
        <w:t xml:space="preserve"> </w:t>
      </w:r>
      <w:r w:rsidRPr="00DF1D1F">
        <w:rPr>
          <w:bCs/>
          <w:iCs/>
        </w:rPr>
        <w:t>to maintain the relevant ITU-R texts in a format which would facilitate the future revision of Appendix </w:t>
      </w:r>
      <w:r w:rsidRPr="00DF1D1F">
        <w:rPr>
          <w:b/>
          <w:bCs/>
          <w:iCs/>
        </w:rPr>
        <w:t xml:space="preserve">7. </w:t>
      </w:r>
      <w:r w:rsidRPr="00DF1D1F">
        <w:rPr>
          <w:bCs/>
          <w:iCs/>
        </w:rPr>
        <w:t xml:space="preserve">In general this approach has been used for text changes in this revision. However, </w:t>
      </w:r>
      <w:r w:rsidR="00B9168B">
        <w:t xml:space="preserve">Recommendation ITU-R SM.1448-0 and Appendix </w:t>
      </w:r>
      <w:r w:rsidR="00B9168B" w:rsidRPr="0588217F">
        <w:rPr>
          <w:b/>
          <w:bCs/>
        </w:rPr>
        <w:t>7</w:t>
      </w:r>
      <w:r w:rsidR="00B9168B">
        <w:t xml:space="preserve"> (</w:t>
      </w:r>
      <w:r w:rsidR="00B9168B" w:rsidRPr="0588217F">
        <w:rPr>
          <w:b/>
          <w:bCs/>
        </w:rPr>
        <w:t>Rev. WRC-15</w:t>
      </w:r>
      <w:r w:rsidR="00B9168B">
        <w:t>) have different structures. The recommendation contains additional sharing scenarios, methods</w:t>
      </w:r>
      <w:r>
        <w:t>,</w:t>
      </w:r>
      <w:r w:rsidR="00B9168B">
        <w:t xml:space="preserve"> options and examples that are referenced from Appendix 7. </w:t>
      </w:r>
      <w:r>
        <w:t xml:space="preserve"> A</w:t>
      </w:r>
      <w:r w:rsidR="00B9168B">
        <w:t xml:space="preserve">ligning the structure with that of Appendix </w:t>
      </w:r>
      <w:r w:rsidR="00B9168B" w:rsidRPr="0588217F">
        <w:rPr>
          <w:b/>
          <w:bCs/>
        </w:rPr>
        <w:t>7</w:t>
      </w:r>
      <w:r w:rsidR="00B9168B">
        <w:t xml:space="preserve"> (</w:t>
      </w:r>
      <w:r w:rsidR="00B9168B" w:rsidRPr="0588217F">
        <w:rPr>
          <w:b/>
          <w:bCs/>
        </w:rPr>
        <w:t>Rev. WRC-15</w:t>
      </w:r>
      <w:r w:rsidR="00B9168B">
        <w:t xml:space="preserve">) would still result in substantive differences including in equation numbering. In this revision the structure of the Recommendation was maintained (see §2.2 of the </w:t>
      </w:r>
      <w:r w:rsidR="005A20FE" w:rsidRPr="00956205">
        <w:t>Supplement</w:t>
      </w:r>
      <w:r w:rsidR="00B9168B">
        <w:t>).</w:t>
      </w:r>
    </w:p>
    <w:p w14:paraId="570C7610" w14:textId="77777777" w:rsidR="00B9168B" w:rsidRPr="007D0EBE" w:rsidRDefault="00B9168B" w:rsidP="00EA567C">
      <w:pPr>
        <w:pStyle w:val="Heading1"/>
      </w:pPr>
      <w:r w:rsidRPr="0588217F">
        <w:t>2</w:t>
      </w:r>
      <w:r w:rsidRPr="007D0EBE">
        <w:tab/>
      </w:r>
      <w:r w:rsidRPr="0588217F">
        <w:t>General modifications</w:t>
      </w:r>
    </w:p>
    <w:p w14:paraId="141A187C" w14:textId="77777777" w:rsidR="00B9168B" w:rsidRDefault="00B9168B" w:rsidP="00B9168B">
      <w:r>
        <w:t>In addition to the points noted in the overview the following general modifications were made.</w:t>
      </w:r>
    </w:p>
    <w:p w14:paraId="482A0A43" w14:textId="77777777" w:rsidR="00B9168B" w:rsidRPr="00AD7371" w:rsidRDefault="00B9168B" w:rsidP="00B9168B">
      <w:r>
        <w:t xml:space="preserve">Predetermined coordination distances were included – predetermined coordination distances were not included in the original Recommendation, as the data at that time was in RR Appendix </w:t>
      </w:r>
      <w:r w:rsidRPr="0588217F">
        <w:rPr>
          <w:b/>
          <w:bCs/>
        </w:rPr>
        <w:t>5.</w:t>
      </w:r>
    </w:p>
    <w:p w14:paraId="0FD8958B" w14:textId="77777777" w:rsidR="00B9168B" w:rsidRDefault="00B9168B" w:rsidP="00B9168B">
      <w:r>
        <w:t>In-line notes were moved to footnotes.</w:t>
      </w:r>
    </w:p>
    <w:p w14:paraId="02EDA9E0" w14:textId="77777777" w:rsidR="00B9168B" w:rsidRDefault="00B9168B" w:rsidP="00B9168B">
      <w:r>
        <w:t xml:space="preserve">A footnote was added </w:t>
      </w:r>
      <w:r w:rsidR="00906008">
        <w:t xml:space="preserve">in a number of places </w:t>
      </w:r>
      <w:r>
        <w:t xml:space="preserve">noting Appendix </w:t>
      </w:r>
      <w:r w:rsidRPr="0588217F">
        <w:rPr>
          <w:b/>
          <w:bCs/>
        </w:rPr>
        <w:t>7</w:t>
      </w:r>
      <w:r>
        <w:t xml:space="preserve"> of the Radio Regulations only applies to a single Earth station operating with a single geostationary space station - the Recommendation includes methods to address </w:t>
      </w:r>
      <w:r w:rsidRPr="0588217F">
        <w:rPr>
          <w:color w:val="000000" w:themeColor="text1"/>
        </w:rPr>
        <w:t>multiple space stations on the geostationary arc</w:t>
      </w:r>
      <w:r>
        <w:t>.</w:t>
      </w:r>
    </w:p>
    <w:p w14:paraId="729AA893" w14:textId="77777777" w:rsidR="00B9168B" w:rsidRPr="002374DA" w:rsidRDefault="00B9168B" w:rsidP="00EA567C">
      <w:pPr>
        <w:pStyle w:val="Heading1"/>
      </w:pPr>
      <w:r w:rsidRPr="0588217F">
        <w:t>3</w:t>
      </w:r>
      <w:r>
        <w:tab/>
      </w:r>
      <w:r w:rsidRPr="0588217F">
        <w:t>Specific modifications</w:t>
      </w:r>
    </w:p>
    <w:p w14:paraId="32420412" w14:textId="77777777" w:rsidR="00B9168B" w:rsidRPr="001A112C" w:rsidRDefault="00B9168B" w:rsidP="00EA567C">
      <w:pPr>
        <w:pStyle w:val="Heading2"/>
      </w:pPr>
      <w:r w:rsidRPr="0588217F">
        <w:t>3.1</w:t>
      </w:r>
      <w:r>
        <w:tab/>
      </w:r>
      <w:r w:rsidRPr="0588217F">
        <w:t>Recommendation main text</w:t>
      </w:r>
    </w:p>
    <w:p w14:paraId="29A2E9E7" w14:textId="77777777" w:rsidR="00B9168B" w:rsidRPr="00AD7371" w:rsidRDefault="00B9168B" w:rsidP="00B9168B">
      <w:r w:rsidRPr="00AD7371">
        <w:t>A new note was added to the Recommendation title</w:t>
      </w:r>
      <w:r>
        <w:t xml:space="preserve"> - t</w:t>
      </w:r>
      <w:r w:rsidRPr="00AD7371">
        <w:t>o clarify that Recommendation ITU-R P.620</w:t>
      </w:r>
      <w:r>
        <w:noBreakHyphen/>
      </w:r>
      <w:r w:rsidRPr="00AD7371">
        <w:t>4 was the source of the propagation models and to note it was neither the sole source of propagation information nor included without alteration.</w:t>
      </w:r>
    </w:p>
    <w:p w14:paraId="69F401B5" w14:textId="77777777" w:rsidR="00B9168B" w:rsidRDefault="00B9168B" w:rsidP="00B9168B">
      <w:r>
        <w:lastRenderedPageBreak/>
        <w:t>Modifications were made to Note 2 - to clarify that the intention of the note is to provide a warning that modifications to component propagation recommendations may create contradictions within this Recommendation.</w:t>
      </w:r>
    </w:p>
    <w:p w14:paraId="50F25ED6" w14:textId="77777777" w:rsidR="00906008" w:rsidRDefault="00906008" w:rsidP="00B9168B">
      <w:r>
        <w:t xml:space="preserve">A new Note 4 was added referencing this </w:t>
      </w:r>
      <w:r w:rsidR="005A20FE" w:rsidRPr="00956205">
        <w:t>Supplement</w:t>
      </w:r>
      <w:r>
        <w:t>.</w:t>
      </w:r>
    </w:p>
    <w:p w14:paraId="7D2D08A9" w14:textId="77777777" w:rsidR="00B9168B" w:rsidRPr="00D478CF" w:rsidRDefault="00B9168B" w:rsidP="00EA567C">
      <w:pPr>
        <w:pStyle w:val="Heading2"/>
      </w:pPr>
      <w:r w:rsidRPr="0588217F">
        <w:t>3.2</w:t>
      </w:r>
      <w:r>
        <w:tab/>
      </w:r>
      <w:r w:rsidRPr="0588217F">
        <w:t>Attachment 1</w:t>
      </w:r>
    </w:p>
    <w:p w14:paraId="43B24231" w14:textId="77777777" w:rsidR="00897338" w:rsidRDefault="00B9168B" w:rsidP="00897338">
      <w:bookmarkStart w:id="98" w:name="_Toc431176116"/>
      <w:bookmarkStart w:id="99" w:name="_Toc431176889"/>
      <w:bookmarkStart w:id="100" w:name="_Toc431184126"/>
      <w:bookmarkStart w:id="101" w:name="_Toc433541529"/>
      <w:bookmarkStart w:id="102" w:name="_Toc433629305"/>
      <w:bookmarkStart w:id="103" w:name="_Toc435774122"/>
      <w:bookmarkStart w:id="104" w:name="_Toc435774756"/>
      <w:bookmarkStart w:id="105" w:name="_Toc328648566"/>
      <w:bookmarkStart w:id="106" w:name="_Toc440086034"/>
      <w:bookmarkStart w:id="107" w:name="_Toc440271844"/>
      <w:bookmarkStart w:id="108" w:name="_Toc440273287"/>
      <w:bookmarkStart w:id="109" w:name="_Toc443368228"/>
      <w:bookmarkStart w:id="110" w:name="_Toc447548555"/>
      <w:bookmarkStart w:id="111" w:name="_Toc447549361"/>
      <w:bookmarkStart w:id="112" w:name="_Toc447549918"/>
      <w:bookmarkStart w:id="113" w:name="_Toc451527900"/>
      <w:bookmarkStart w:id="114" w:name="_Toc454863944"/>
      <w:bookmarkStart w:id="115" w:name="_Toc454864558"/>
      <w:bookmarkStart w:id="116" w:name="_Toc461970291"/>
      <w:bookmarkStart w:id="117" w:name="_Toc463672200"/>
      <w:bookmarkStart w:id="118" w:name="_Toc466343726"/>
      <w:bookmarkStart w:id="119" w:name="_Toc484247155"/>
      <w:r w:rsidRPr="00BF0406">
        <w:t>§1.4</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BF0406">
        <w:t xml:space="preserve"> </w:t>
      </w:r>
      <w:r>
        <w:t>t</w:t>
      </w:r>
      <w:r w:rsidRPr="00BF0406">
        <w:t>ext included from Appendix 7 relating to an exclusion “Except as discussed in § 1.4.5 to 1.4.7</w:t>
      </w:r>
      <w:r>
        <w:t>”</w:t>
      </w:r>
      <w:r w:rsidRPr="00BF0406">
        <w:t xml:space="preserve"> was modified to read “Except as discussed in § 1.4.5 to 1.4.9” - §1.4.8 &amp; §1.4.9 were not included in Appendix 7.</w:t>
      </w:r>
      <w:r w:rsidR="00897338" w:rsidRPr="00897338">
        <w:t xml:space="preserve"> </w:t>
      </w:r>
    </w:p>
    <w:p w14:paraId="28A222F3" w14:textId="77777777" w:rsidR="006C66B2" w:rsidRDefault="00897338" w:rsidP="00897338">
      <w:r>
        <w:t>Figures 3 &amp; 4</w:t>
      </w:r>
      <w:r w:rsidRPr="00310FCA">
        <w:t xml:space="preserve"> were originally replaced by a corrigendum to the Recommendation issued in August 2002. However, the corrigendum contained errors and Figures 3 and 4 have been replaced by the versions included in the Radio Regulations at WRC-03 that contain the correct labelling of the auxiliary contours</w:t>
      </w:r>
    </w:p>
    <w:p w14:paraId="6F239340" w14:textId="77777777" w:rsidR="00B9168B" w:rsidRDefault="00B9168B" w:rsidP="00B9168B">
      <w:r>
        <w:t xml:space="preserve">§2.1.2 addresses the propagation mode (2) contour for an Earth station operating with a Space station in the GSO. Modifications were made to remove references to this contour as a coordination contour. A propagation mode 2 coordination contour is not compatible with §1.6, §2.1 and </w:t>
      </w:r>
      <w:r w:rsidRPr="0588217F">
        <w:rPr>
          <w:b/>
          <w:bCs/>
        </w:rPr>
        <w:t>Nos. 1.171 – 1.173</w:t>
      </w:r>
      <w:r>
        <w:t>.</w:t>
      </w:r>
    </w:p>
    <w:p w14:paraId="42D4E953" w14:textId="77777777" w:rsidR="00B9168B" w:rsidRDefault="00B9168B" w:rsidP="00B9168B">
      <w:r>
        <w:t>§2.2 for Appendix 7, the majority of text in this section was either deleted or moved into other parts of the text especially §2.2.1 or §2.2.2, with §2.2.2 on the TVG method then relocated to §4 of Annex 6 to Appendix 7. For this revision of the recommendation the main text of this section has been retained in the structure of Rec SM.1448-0 with the exception of editorials and a sentence that is more appropriately located in §2.2.2 on the TVG method</w:t>
      </w:r>
      <w:r w:rsidR="00897338">
        <w:t>.</w:t>
      </w:r>
    </w:p>
    <w:p w14:paraId="7D07DE5B" w14:textId="77777777" w:rsidR="00847711" w:rsidRDefault="00847711" w:rsidP="00B9168B">
      <w:r>
        <w:t xml:space="preserve">§3  </w:t>
      </w:r>
      <w:r w:rsidRPr="006A64F0">
        <w:t xml:space="preserve">Table 2 contains a reference to the section containing the method to determine Gt and Gr. For the coordinating and unknown earth stations operating to GSO space stations, there are two entries, the first where the allocation is only for the GSO (§3.1) and second where it is to GSO &amp; NGSO (§3.1.1 &amp; §3.2.1). In each case for the coordinating and unknown earth stations operating to </w:t>
      </w:r>
      <w:r>
        <w:t xml:space="preserve">the </w:t>
      </w:r>
      <w:r w:rsidRPr="006A64F0">
        <w:t>GSO the situation is identical but the section referenced is different</w:t>
      </w:r>
      <w:r>
        <w:t>,</w:t>
      </w:r>
      <w:r w:rsidRPr="006A64F0">
        <w:t xml:space="preserve"> §3.1 in the first and §3.1.1 in the second.   Although §3.1.1 contains the method to determine Gt &amp; Gr it contains no link to §3.1.2 for propagation mode (2) and the reference should be to §3.1 as both propagation mode (1) and propagation mode (</w:t>
      </w:r>
      <w:r>
        <w:t>2</w:t>
      </w:r>
      <w:r w:rsidRPr="006A64F0">
        <w:t>) are required for the coordination contour</w:t>
      </w:r>
      <w:r>
        <w:t>.</w:t>
      </w:r>
    </w:p>
    <w:p w14:paraId="31EA34A8" w14:textId="77777777" w:rsidR="00847711" w:rsidRDefault="00847711" w:rsidP="00B9168B">
      <w:r>
        <w:t xml:space="preserve">§3 </w:t>
      </w:r>
      <w:r w:rsidR="00C021AC">
        <w:t xml:space="preserve"> </w:t>
      </w:r>
      <w:r w:rsidR="00C021AC" w:rsidRPr="006A64F0">
        <w:t>Table 2</w:t>
      </w:r>
      <w:r w:rsidR="00C021AC">
        <w:t xml:space="preserve">, table note 1 </w:t>
      </w:r>
      <w:r w:rsidR="00C021AC" w:rsidRPr="006A64F0">
        <w:rPr>
          <w:szCs w:val="24"/>
        </w:rPr>
        <w:t>refers to the case where the bidirectional frequency band may contain allocations in the Earth-to-space directions for space stations in both the GSO and NGSO. However the reference should be to the space-to-Earth direction, as explained in the second sentence of the table note that states “Hence, the coordinating administration will not know whether the unknown receiving earth stations are operating with space stations in the geostationary orbit or non-geostationary orbit</w:t>
      </w:r>
      <w:r w:rsidR="00C021AC" w:rsidRPr="006A64F0">
        <w:rPr>
          <w:szCs w:val="24"/>
          <w:lang w:val="en-US"/>
        </w:rPr>
        <w:t>”</w:t>
      </w:r>
    </w:p>
    <w:p w14:paraId="00F2E495" w14:textId="77777777" w:rsidR="00897338" w:rsidRDefault="00B9168B" w:rsidP="00897338">
      <w:r>
        <w:t>§3.1.1 this procedure addresses the case where both the coordinating and the unknown earth stations operate with space stations in the geostationary orbit, but the reference in the text refers to the TIG method for an earth station that operate with a NGSO space station</w:t>
      </w:r>
      <w:r w:rsidR="00897338" w:rsidRPr="00897338">
        <w:t xml:space="preserve"> </w:t>
      </w:r>
      <w:r w:rsidR="00897338">
        <w:t>in §2.2</w:t>
      </w:r>
      <w:r>
        <w:t>. The reference should be to § 2.1.1. Further, the key difference is that the unknown station</w:t>
      </w:r>
      <w:r w:rsidR="00383820">
        <w:t>s</w:t>
      </w:r>
      <w:r>
        <w:t xml:space="preserve"> </w:t>
      </w:r>
      <w:r w:rsidR="00383820">
        <w:t>are</w:t>
      </w:r>
      <w:r>
        <w:t xml:space="preserve"> receiving </w:t>
      </w:r>
      <w:r w:rsidR="00383820">
        <w:t>e</w:t>
      </w:r>
      <w:r>
        <w:t>arth station</w:t>
      </w:r>
      <w:r w:rsidR="00383820">
        <w:t>s</w:t>
      </w:r>
      <w:r>
        <w:t xml:space="preserve"> operating </w:t>
      </w:r>
      <w:r w:rsidR="00383820">
        <w:t>with s</w:t>
      </w:r>
      <w:r>
        <w:t>pace station</w:t>
      </w:r>
      <w:r w:rsidR="00383820">
        <w:t>s</w:t>
      </w:r>
      <w:r>
        <w:t xml:space="preserve"> in the GSO.</w:t>
      </w:r>
      <w:r w:rsidR="00897338" w:rsidRPr="00897338">
        <w:t xml:space="preserve"> </w:t>
      </w:r>
    </w:p>
    <w:p w14:paraId="0137C98D" w14:textId="77777777" w:rsidR="001807F2" w:rsidRDefault="00897338" w:rsidP="00897338">
      <w:r>
        <w:t>§3.1.1 Gr references parameters in Table 9, in the recommendation the relevant parameters are in be Table 16. Table 9 relates to an example.</w:t>
      </w:r>
    </w:p>
    <w:p w14:paraId="543BDA26" w14:textId="77777777" w:rsidR="00B9168B" w:rsidRDefault="00B9168B" w:rsidP="00B9168B">
      <w:r>
        <w:lastRenderedPageBreak/>
        <w:t xml:space="preserve">Annex 6 for transmitting and unknown receiving Earth stations operating with a Space station in the GSO the coordination contour consists of both propagation mode (1) and propagation mode (2) contours as indicated in §1.6 and Table 3. Hence there is no separate propagation mode (2) coordination contour and for both Earth stations operating with GSO Space stations there can be no propagation mode (1) coordination contour as it is not compatible with §1.6, §3.1 or </w:t>
      </w:r>
      <w:r w:rsidRPr="0588217F">
        <w:rPr>
          <w:b/>
          <w:bCs/>
        </w:rPr>
        <w:t>Nos 1.171</w:t>
      </w:r>
      <w:r>
        <w:t xml:space="preserve"> - </w:t>
      </w:r>
      <w:r w:rsidRPr="0588217F">
        <w:rPr>
          <w:b/>
          <w:bCs/>
        </w:rPr>
        <w:t>1.173</w:t>
      </w:r>
      <w:r>
        <w:t xml:space="preserve">. The text in §1 &amp; §2 includes the case where both Earth stations </w:t>
      </w:r>
      <w:r w:rsidR="00897338">
        <w:t xml:space="preserve">are </w:t>
      </w:r>
      <w:r>
        <w:t xml:space="preserve">operating with GSO Space stations. Hence the term </w:t>
      </w:r>
      <w:r w:rsidRPr="0588217F">
        <w:rPr>
          <w:i/>
          <w:iCs/>
        </w:rPr>
        <w:t>coordination area</w:t>
      </w:r>
      <w:r>
        <w:t xml:space="preserve"> has been replaced with </w:t>
      </w:r>
      <w:r w:rsidRPr="0588217F">
        <w:rPr>
          <w:i/>
          <w:iCs/>
        </w:rPr>
        <w:t>contour</w:t>
      </w:r>
      <w:r>
        <w:t xml:space="preserve"> and the term </w:t>
      </w:r>
      <w:r w:rsidRPr="0588217F">
        <w:rPr>
          <w:i/>
          <w:iCs/>
        </w:rPr>
        <w:t>coordination</w:t>
      </w:r>
      <w:r>
        <w:t xml:space="preserve"> removed from individual references to propagation mode (1) and propagation mode (2), although they are retained in Appendix </w:t>
      </w:r>
      <w:r w:rsidRPr="0588217F">
        <w:rPr>
          <w:b/>
          <w:bCs/>
        </w:rPr>
        <w:t>7</w:t>
      </w:r>
      <w:r>
        <w:t xml:space="preserve"> (</w:t>
      </w:r>
      <w:r w:rsidRPr="0588217F">
        <w:rPr>
          <w:b/>
          <w:bCs/>
        </w:rPr>
        <w:t>Rev.WRC-15</w:t>
      </w:r>
      <w:r>
        <w:t>).</w:t>
      </w:r>
    </w:p>
    <w:p w14:paraId="172CC46D" w14:textId="77777777" w:rsidR="00B9168B" w:rsidRDefault="00B9168B" w:rsidP="00EA567C">
      <w:pPr>
        <w:pStyle w:val="Heading2"/>
      </w:pPr>
      <w:r w:rsidRPr="0588217F">
        <w:t>3.3</w:t>
      </w:r>
      <w:r>
        <w:tab/>
      </w:r>
      <w:r w:rsidRPr="0588217F">
        <w:t>Attachment 2</w:t>
      </w:r>
    </w:p>
    <w:p w14:paraId="2B7841F2" w14:textId="77777777" w:rsidR="00897338" w:rsidRDefault="00897338" w:rsidP="00897338">
      <w:pPr>
        <w:pStyle w:val="enumlev1"/>
        <w:ind w:left="0" w:firstLine="0"/>
      </w:pPr>
      <w:bookmarkStart w:id="120" w:name="_Toc328648615"/>
      <w:bookmarkStart w:id="121" w:name="_Toc463672419"/>
      <w:bookmarkStart w:id="122" w:name="_Toc464975343"/>
      <w:bookmarkStart w:id="123" w:name="_Toc484247216"/>
      <w:r>
        <w:t>1)</w:t>
      </w:r>
      <w:r>
        <w:tab/>
        <w:t>T</w:t>
      </w:r>
      <w:r w:rsidRPr="00310FCA">
        <w:t>he term “number of equivalent, equal level, equal probability entries of interference, assumed to be uncorrelated for small percentages of the time” is given the symbol “</w:t>
      </w:r>
      <w:r w:rsidRPr="00DF1D1F">
        <w:rPr>
          <w:i/>
        </w:rPr>
        <w:t>N</w:t>
      </w:r>
      <w:r w:rsidRPr="00310FCA">
        <w:t>” in the parameter tables of Annex 8 but in Tables 14 to 16 it is shown as “</w:t>
      </w:r>
      <w:r w:rsidRPr="00DF1D1F">
        <w:rPr>
          <w:i/>
        </w:rPr>
        <w:t>n</w:t>
      </w:r>
      <w:r w:rsidRPr="00DF1D1F">
        <w:t>”. Within this Recommendation the symbol “</w:t>
      </w:r>
      <w:r w:rsidRPr="00DF1D1F">
        <w:rPr>
          <w:i/>
        </w:rPr>
        <w:t>n</w:t>
      </w:r>
      <w:r w:rsidRPr="00DF1D1F">
        <w:t>” is also used as a step counter and symbol “</w:t>
      </w:r>
      <w:r w:rsidRPr="00DF1D1F">
        <w:rPr>
          <w:i/>
        </w:rPr>
        <w:t>N</w:t>
      </w:r>
      <w:r w:rsidRPr="00DF1D1F">
        <w:t xml:space="preserve">” is used to indicate digital modulation. Tables 7 to 9 of Appendix </w:t>
      </w:r>
      <w:r w:rsidRPr="00DF1D1F">
        <w:rPr>
          <w:b/>
        </w:rPr>
        <w:t>7</w:t>
      </w:r>
      <w:r w:rsidRPr="00DF1D1F">
        <w:t xml:space="preserve"> (</w:t>
      </w:r>
      <w:r w:rsidRPr="00DF1D1F">
        <w:rPr>
          <w:b/>
        </w:rPr>
        <w:t>Rev. WRC-15</w:t>
      </w:r>
      <w:r w:rsidRPr="00DF1D1F">
        <w:t>) now use both the symbols “</w:t>
      </w:r>
      <w:r w:rsidRPr="00DF1D1F">
        <w:rPr>
          <w:i/>
        </w:rPr>
        <w:t>n</w:t>
      </w:r>
      <w:r w:rsidRPr="00DF1D1F">
        <w:t>” &amp; “</w:t>
      </w:r>
      <w:r w:rsidRPr="00DF1D1F">
        <w:rPr>
          <w:i/>
        </w:rPr>
        <w:t>N</w:t>
      </w:r>
      <w:r w:rsidRPr="00DF1D1F">
        <w:t xml:space="preserve">” for the “number of equivalent, equal level, equal probability entries of interference, assumed to be uncorrelated for small percentages of the time”. In this revision the symbol has been changed to </w:t>
      </w:r>
      <w:r w:rsidRPr="00DF1D1F">
        <w:rPr>
          <w:i/>
          <w:iCs/>
        </w:rPr>
        <w:t>n</w:t>
      </w:r>
      <w:r w:rsidRPr="00DF1D1F">
        <w:rPr>
          <w:i/>
          <w:position w:val="-3"/>
          <w:sz w:val="16"/>
        </w:rPr>
        <w:t>p</w:t>
      </w:r>
      <w:r w:rsidRPr="00DF1D1F">
        <w:rPr>
          <w:sz w:val="16"/>
        </w:rPr>
        <w:t xml:space="preserve"> </w:t>
      </w:r>
      <w:r w:rsidRPr="00DF1D1F">
        <w:t xml:space="preserve"> to provide unique identification and reflect the statistical nature of the term</w:t>
      </w:r>
      <w:r w:rsidRPr="002D3788">
        <w:t xml:space="preserve"> </w:t>
      </w:r>
    </w:p>
    <w:p w14:paraId="3F86AB2B" w14:textId="77777777" w:rsidR="00897338" w:rsidRPr="00310FCA" w:rsidRDefault="00897338" w:rsidP="00897338">
      <w:pPr>
        <w:pStyle w:val="enumlev1"/>
        <w:ind w:left="0" w:firstLine="0"/>
      </w:pPr>
      <w:r>
        <w:t>2)</w:t>
      </w:r>
      <w:r>
        <w:tab/>
      </w:r>
      <w:r w:rsidRPr="00310FCA">
        <w:t>Changes to the presentation of references to table notes to maintain a clearer distinction between the references to table notes and table values.</w:t>
      </w:r>
    </w:p>
    <w:p w14:paraId="2C616AB0" w14:textId="77777777" w:rsidR="00897338" w:rsidRPr="009B5597" w:rsidRDefault="00897338" w:rsidP="00897338">
      <w:r w:rsidRPr="009B5597">
        <w:t>The tables of system parameters in Recommendation ITU-R SM.1448-0 contain a series of table notes within parenthesis. For Appendix 7, the parenthesis were removed with the note number a raised smaller font and increased spacing from other table cell entries. If there was no other entry in the cell the note number was centralised.</w:t>
      </w:r>
    </w:p>
    <w:p w14:paraId="3046A227" w14:textId="77777777" w:rsidR="00897338" w:rsidRPr="009B5597" w:rsidRDefault="00897338" w:rsidP="00897338">
      <w:r w:rsidRPr="009B5597">
        <w:t xml:space="preserve">Since WRC-2000 a number of editorials have been made to the Appendix 7 tables of system parameters that have not been limited to the frequency bands under consideration. Now some table note numbers are the same font size as other table entries, the extent it is raised and its spacing from other entries in a table cell reduced. This change is particularly noticeable in tables where the table note number is the only entry in a cell and it is no longer possible to visually distinguish between an actual value and a reference to a table note in the “word processed” version and is impossible in the PDF version.. It is also difficult to determine if new entries are intended to be a reference to a table note or an actual value. </w:t>
      </w:r>
    </w:p>
    <w:p w14:paraId="20C77F32" w14:textId="77777777" w:rsidR="00897338" w:rsidRPr="00DF1D1F" w:rsidRDefault="00897338" w:rsidP="00897338">
      <w:r w:rsidRPr="00DF1D1F">
        <w:t xml:space="preserve">Although the change to table note numbers affects several tables in Appendix </w:t>
      </w:r>
      <w:r w:rsidRPr="00DF1D1F">
        <w:rPr>
          <w:b/>
        </w:rPr>
        <w:t>7</w:t>
      </w:r>
      <w:r w:rsidRPr="00DF1D1F">
        <w:t xml:space="preserve"> (</w:t>
      </w:r>
      <w:r w:rsidRPr="00DF1D1F">
        <w:rPr>
          <w:b/>
        </w:rPr>
        <w:t>Rev. WRC-15</w:t>
      </w:r>
      <w:r w:rsidRPr="00DF1D1F">
        <w:t>), currently only Tables 9a and 9b contain entries where a table note number is the only entry in a cell and the potential confusion between an actual value and a reference to a table note is most acute.</w:t>
      </w:r>
    </w:p>
    <w:p w14:paraId="20677084" w14:textId="77777777" w:rsidR="00B9168B" w:rsidRDefault="00897338" w:rsidP="00897338">
      <w:r w:rsidRPr="00DF1D1F">
        <w:t xml:space="preserve">For the proposed alignment of the Recommendation ITU-R SM.1448 System Parameter Tables with Appendix </w:t>
      </w:r>
      <w:r w:rsidRPr="00DF1D1F">
        <w:rPr>
          <w:b/>
        </w:rPr>
        <w:t>7</w:t>
      </w:r>
      <w:r w:rsidRPr="00DF1D1F">
        <w:t xml:space="preserve"> (</w:t>
      </w:r>
      <w:r w:rsidRPr="00DF1D1F">
        <w:rPr>
          <w:b/>
        </w:rPr>
        <w:t>Rev. WRC-15</w:t>
      </w:r>
      <w:r w:rsidRPr="00DF1D1F">
        <w:t>) the method adopted for Table 10</w:t>
      </w:r>
      <w:r w:rsidRPr="00DF1D1F">
        <w:rPr>
          <w:rStyle w:val="FootnoteReference"/>
        </w:rPr>
        <w:footnoteReference w:id="46"/>
      </w:r>
      <w:r w:rsidRPr="00DF1D1F">
        <w:t xml:space="preserve"> of Appendix </w:t>
      </w:r>
      <w:r w:rsidRPr="00DF1D1F">
        <w:rPr>
          <w:b/>
        </w:rPr>
        <w:t xml:space="preserve">7 </w:t>
      </w:r>
      <w:r w:rsidRPr="00DF1D1F">
        <w:t>(</w:t>
      </w:r>
      <w:r w:rsidRPr="00DF1D1F">
        <w:rPr>
          <w:b/>
        </w:rPr>
        <w:t>Rev. WRC-15</w:t>
      </w:r>
      <w:r w:rsidRPr="00DF1D1F">
        <w:t>) has been used “(see Note 1)” etc.. Vertical spacing has been removed and table note references standardised. The tables have also been reformatted to realign cell space.</w:t>
      </w:r>
    </w:p>
    <w:p w14:paraId="3B543924" w14:textId="77777777" w:rsidR="00CF2DA8" w:rsidRDefault="00897338">
      <w:r>
        <w:lastRenderedPageBreak/>
        <w:t>3)</w:t>
      </w:r>
      <w:r>
        <w:tab/>
      </w:r>
      <w:r w:rsidR="00B9168B">
        <w:t xml:space="preserve">A number of inconsistencies were noted when comparing the system parameter tables in Recommendation ITU-R SM.1448-0 with the same tables in Appendix </w:t>
      </w:r>
      <w:r w:rsidR="00B9168B" w:rsidRPr="00BF7863">
        <w:rPr>
          <w:b/>
          <w:bCs/>
        </w:rPr>
        <w:t>7</w:t>
      </w:r>
      <w:r w:rsidR="00B9168B">
        <w:t xml:space="preserve"> </w:t>
      </w:r>
      <w:r w:rsidR="00B9168B" w:rsidRPr="00BF7863">
        <w:rPr>
          <w:b/>
          <w:bCs/>
        </w:rPr>
        <w:t>(Rev. WRC-15).</w:t>
      </w:r>
      <w:r w:rsidR="00B9168B">
        <w:t xml:space="preserve"> A note was sent to the Director Radiocommunication Bureau </w:t>
      </w:r>
      <w:r>
        <w:t xml:space="preserve">(see Annex 14 to Document </w:t>
      </w:r>
      <w:hyperlink r:id="rId20" w:history="1">
        <w:r w:rsidRPr="00BA507B">
          <w:rPr>
            <w:rStyle w:val="Hyperlink"/>
            <w:color w:val="auto"/>
            <w:u w:val="none"/>
          </w:rPr>
          <w:t>1A/340</w:t>
        </w:r>
      </w:hyperlink>
      <w:r>
        <w:t xml:space="preserve">) </w:t>
      </w:r>
      <w:r w:rsidR="00B9168B">
        <w:t>identifying the inconsistencies and requesting they be investigated and the results included in the Director’s Report to CPM-19.</w:t>
      </w:r>
      <w:bookmarkEnd w:id="120"/>
      <w:bookmarkEnd w:id="121"/>
      <w:bookmarkEnd w:id="122"/>
      <w:bookmarkEnd w:id="123"/>
      <w:r w:rsidRPr="00897338">
        <w:t xml:space="preserve"> </w:t>
      </w:r>
      <w:r w:rsidRPr="00DF1D1F">
        <w:t xml:space="preserve">This list was referenced in the draft report </w:t>
      </w:r>
      <w:r w:rsidRPr="009B5597">
        <w:t>of the Director BR to CPM 19-2, the results of the BR’s analysis will be included in the Director’s Report to WRC-19 (see Document CPM19-2/17)</w:t>
      </w:r>
      <w:r>
        <w:t>.</w:t>
      </w:r>
    </w:p>
    <w:p w14:paraId="2920F4F8" w14:textId="77777777" w:rsidR="00B9168B" w:rsidRDefault="00897338" w:rsidP="00F1574B">
      <w:r>
        <w:rPr>
          <w:lang w:eastAsia="zh-CN"/>
        </w:rPr>
        <w:t>4)</w:t>
      </w:r>
      <w:r>
        <w:rPr>
          <w:lang w:eastAsia="zh-CN"/>
        </w:rPr>
        <w:tab/>
      </w:r>
      <w:r w:rsidR="00B9168B" w:rsidRPr="0588217F">
        <w:rPr>
          <w:lang w:eastAsia="zh-CN"/>
        </w:rPr>
        <w:t>For the Aeronautical mobile-satellite (R) service in the frequency band 5.030</w:t>
      </w:r>
      <w:r w:rsidR="00F1574B">
        <w:rPr>
          <w:lang w:eastAsia="zh-CN"/>
        </w:rPr>
        <w:t>-</w:t>
      </w:r>
      <w:r w:rsidR="00B9168B" w:rsidRPr="0588217F">
        <w:rPr>
          <w:lang w:eastAsia="zh-CN"/>
        </w:rPr>
        <w:t>5.091</w:t>
      </w:r>
      <w:r w:rsidR="00F1574B">
        <w:rPr>
          <w:lang w:eastAsia="zh-CN"/>
        </w:rPr>
        <w:t> </w:t>
      </w:r>
      <w:r w:rsidR="00B9168B" w:rsidRPr="0588217F">
        <w:rPr>
          <w:lang w:eastAsia="zh-CN"/>
        </w:rPr>
        <w:t xml:space="preserve">GHz where the receive Earth station is operating in the </w:t>
      </w:r>
      <w:r w:rsidR="00B9168B">
        <w:t xml:space="preserve">Aeronautical mobile-satellite (R) service (GSO) the </w:t>
      </w:r>
      <w:r w:rsidR="00B9168B" w:rsidRPr="0588217F">
        <w:rPr>
          <w:i/>
          <w:iCs/>
        </w:rPr>
        <w:t>horizon antenna gain</w:t>
      </w:r>
      <w:r w:rsidR="00B9168B">
        <w:t xml:space="preserve"> was modified from a value of 8 dBi to a reference to “table note 8”. A fixed value is not possible as the procedure assumes the coordinating and unknown Earth stations are on the same latitude for the worst case </w:t>
      </w:r>
      <w:r w:rsidR="00B9168B" w:rsidRPr="0588217F">
        <w:rPr>
          <w:i/>
          <w:iCs/>
        </w:rPr>
        <w:t>horizon antenna gain</w:t>
      </w:r>
      <w:r w:rsidR="00B9168B">
        <w:t>.</w:t>
      </w:r>
    </w:p>
    <w:p w14:paraId="70628E3B" w14:textId="77777777" w:rsidR="00906008" w:rsidRPr="006A64F0" w:rsidRDefault="00906008" w:rsidP="00906008">
      <w:pPr>
        <w:rPr>
          <w:szCs w:val="24"/>
        </w:rPr>
      </w:pPr>
      <w:r>
        <w:t>5)</w:t>
      </w:r>
      <w:r>
        <w:tab/>
      </w:r>
      <w:r>
        <w:rPr>
          <w:szCs w:val="24"/>
        </w:rPr>
        <w:t>I</w:t>
      </w:r>
      <w:r w:rsidRPr="006A64F0">
        <w:rPr>
          <w:szCs w:val="24"/>
        </w:rPr>
        <w:t xml:space="preserve">n Table 15D the parameter </w:t>
      </w:r>
      <w:r w:rsidRPr="006A64F0">
        <w:rPr>
          <w:i/>
          <w:szCs w:val="24"/>
        </w:rPr>
        <w:t>reference bandwidth</w:t>
      </w:r>
      <w:r w:rsidRPr="006A64F0">
        <w:rPr>
          <w:szCs w:val="24"/>
        </w:rPr>
        <w:t xml:space="preserve"> has been associated with a new table note that is identical to table note 6 in Table 15C. </w:t>
      </w:r>
    </w:p>
    <w:p w14:paraId="0FF759DC" w14:textId="0B4FDE56" w:rsidR="00906008" w:rsidRPr="006A64F0" w:rsidRDefault="00906008" w:rsidP="00906008">
      <w:pPr>
        <w:rPr>
          <w:szCs w:val="24"/>
        </w:rPr>
      </w:pPr>
      <w:r w:rsidRPr="006A64F0">
        <w:rPr>
          <w:szCs w:val="24"/>
        </w:rPr>
        <w:t xml:space="preserve">In Appendix </w:t>
      </w:r>
      <w:r w:rsidRPr="006A64F0">
        <w:rPr>
          <w:b/>
          <w:szCs w:val="24"/>
        </w:rPr>
        <w:t>7</w:t>
      </w:r>
      <w:r w:rsidRPr="006A64F0">
        <w:rPr>
          <w:szCs w:val="24"/>
        </w:rPr>
        <w:t xml:space="preserve"> (</w:t>
      </w:r>
      <w:r w:rsidRPr="006A64F0">
        <w:rPr>
          <w:b/>
          <w:szCs w:val="24"/>
        </w:rPr>
        <w:t>Rev.WRC-15</w:t>
      </w:r>
      <w:r w:rsidRPr="006A64F0">
        <w:rPr>
          <w:szCs w:val="24"/>
        </w:rPr>
        <w:t xml:space="preserve">) the reference is to table note 6 “Non-geostationary fixed-satellite service systems”, a note that cannot apply to a parameter that is applicable to all services and types of orbit. Note in Recommendation ITU-R SM.1448-0 the parameter </w:t>
      </w:r>
      <w:r w:rsidRPr="006A64F0">
        <w:rPr>
          <w:i/>
          <w:szCs w:val="24"/>
        </w:rPr>
        <w:t xml:space="preserve">reference bandwidth </w:t>
      </w:r>
      <w:r w:rsidRPr="006A64F0">
        <w:rPr>
          <w:szCs w:val="24"/>
        </w:rPr>
        <w:t>in Table 15D did not have any association with a table note.</w:t>
      </w:r>
    </w:p>
    <w:p w14:paraId="1F3EFA1B" w14:textId="77777777" w:rsidR="00906008" w:rsidRDefault="00906008" w:rsidP="00906008">
      <w:r w:rsidRPr="006A64F0">
        <w:rPr>
          <w:szCs w:val="24"/>
        </w:rPr>
        <w:t xml:space="preserve">Table note 6 of Table </w:t>
      </w:r>
      <w:r w:rsidR="00CE39D7">
        <w:rPr>
          <w:szCs w:val="24"/>
        </w:rPr>
        <w:t>15C</w:t>
      </w:r>
      <w:r w:rsidRPr="006A64F0">
        <w:rPr>
          <w:szCs w:val="24"/>
        </w:rPr>
        <w:t xml:space="preserve"> originates from Table II of Appendix 28 that covered the frequency range 1.525-40.0 GHz. During the revision of Appendix 28 (S7) the tables of system parameters were expanded to address the larger frequency range of the revised Appendix and Table II was divided into four new tables (</w:t>
      </w:r>
      <w:r w:rsidR="00CE39D7">
        <w:rPr>
          <w:szCs w:val="24"/>
        </w:rPr>
        <w:t>15A</w:t>
      </w:r>
      <w:r w:rsidRPr="006A64F0">
        <w:rPr>
          <w:szCs w:val="24"/>
        </w:rPr>
        <w:t xml:space="preserve">:137-2 200 MHz; </w:t>
      </w:r>
      <w:r w:rsidR="00CE39D7">
        <w:rPr>
          <w:szCs w:val="24"/>
        </w:rPr>
        <w:t>15B</w:t>
      </w:r>
      <w:r w:rsidRPr="006A64F0">
        <w:rPr>
          <w:szCs w:val="24"/>
        </w:rPr>
        <w:t xml:space="preserve">:1.525-4.2 GHz; </w:t>
      </w:r>
      <w:r w:rsidR="00CE39D7">
        <w:rPr>
          <w:szCs w:val="24"/>
        </w:rPr>
        <w:t>15C</w:t>
      </w:r>
      <w:r w:rsidRPr="006A64F0">
        <w:rPr>
          <w:szCs w:val="24"/>
        </w:rPr>
        <w:t xml:space="preserve">:4.5-19.7 GHz; </w:t>
      </w:r>
      <w:r w:rsidR="00CE39D7">
        <w:rPr>
          <w:szCs w:val="24"/>
        </w:rPr>
        <w:t>15D</w:t>
      </w:r>
      <w:r w:rsidRPr="006A64F0">
        <w:rPr>
          <w:szCs w:val="24"/>
        </w:rPr>
        <w:t xml:space="preserve">:18.8-47.0 GHz). The table note should have been applied to the parameter </w:t>
      </w:r>
      <w:r w:rsidRPr="006A64F0">
        <w:rPr>
          <w:i/>
          <w:szCs w:val="24"/>
        </w:rPr>
        <w:t>reference bandwidth</w:t>
      </w:r>
      <w:r w:rsidRPr="006A64F0">
        <w:rPr>
          <w:szCs w:val="24"/>
        </w:rPr>
        <w:t xml:space="preserve"> in Table </w:t>
      </w:r>
      <w:r w:rsidR="00CE39D7">
        <w:rPr>
          <w:szCs w:val="24"/>
        </w:rPr>
        <w:t>15C</w:t>
      </w:r>
      <w:r w:rsidRPr="006A64F0">
        <w:rPr>
          <w:szCs w:val="24"/>
        </w:rPr>
        <w:t xml:space="preserve"> and Table </w:t>
      </w:r>
      <w:r w:rsidR="00CE39D7">
        <w:rPr>
          <w:szCs w:val="24"/>
        </w:rPr>
        <w:t>15D</w:t>
      </w:r>
      <w:r w:rsidRPr="006A64F0">
        <w:rPr>
          <w:szCs w:val="24"/>
        </w:rPr>
        <w:t>.</w:t>
      </w:r>
    </w:p>
    <w:p w14:paraId="4E0DA597" w14:textId="77777777" w:rsidR="00CE39D7" w:rsidRDefault="00CE39D7" w:rsidP="00B9168B">
      <w:pPr>
        <w:rPr>
          <w:szCs w:val="24"/>
        </w:rPr>
      </w:pPr>
      <w:r>
        <w:rPr>
          <w:szCs w:val="24"/>
        </w:rPr>
        <w:t>6)</w:t>
      </w:r>
      <w:r>
        <w:rPr>
          <w:szCs w:val="24"/>
        </w:rPr>
        <w:tab/>
      </w:r>
      <w:r w:rsidR="001754F5">
        <w:rPr>
          <w:szCs w:val="24"/>
        </w:rPr>
        <w:t xml:space="preserve">For </w:t>
      </w:r>
      <w:r w:rsidR="00906008" w:rsidRPr="006A64F0">
        <w:rPr>
          <w:szCs w:val="24"/>
        </w:rPr>
        <w:t xml:space="preserve">Tables 16A and 16B, an additional reference has been included to § 3 of Attachment 2. The table notes associated with the parameter Gr (4 for Table16A and 5 for Table 16B) only refer to section 3 of the main body of the Attachment and the individual table notes in the different frequency bands either refer to Annex 6 or Annex 3. However, there is no reference to section 3 of Annex 7, which contains the explanation of what the entries under the parameter Gr represent, how values are derived and </w:t>
      </w:r>
      <w:bookmarkStart w:id="124" w:name="_GoBack"/>
      <w:bookmarkEnd w:id="124"/>
      <w:r w:rsidR="00906008" w:rsidRPr="006A64F0">
        <w:rPr>
          <w:szCs w:val="24"/>
        </w:rPr>
        <w:t>the purpose for the inclusion of antenna patterns in the table notes.</w:t>
      </w:r>
    </w:p>
    <w:p w14:paraId="7C966C24" w14:textId="77777777" w:rsidR="00CE39D7" w:rsidRDefault="001754F5" w:rsidP="00B9168B">
      <w:pPr>
        <w:rPr>
          <w:szCs w:val="24"/>
        </w:rPr>
      </w:pPr>
      <w:r>
        <w:rPr>
          <w:szCs w:val="24"/>
        </w:rPr>
        <w:t xml:space="preserve">7) </w:t>
      </w:r>
      <w:r>
        <w:rPr>
          <w:szCs w:val="24"/>
        </w:rPr>
        <w:tab/>
      </w:r>
      <w:r>
        <w:rPr>
          <w:szCs w:val="24"/>
          <w:lang w:val="en-US"/>
        </w:rPr>
        <w:t>Ad</w:t>
      </w:r>
      <w:r w:rsidR="00CE39D7" w:rsidRPr="006A64F0">
        <w:rPr>
          <w:szCs w:val="24"/>
          <w:lang w:val="en-US"/>
        </w:rPr>
        <w:t xml:space="preserve">ditional explanatory text has been </w:t>
      </w:r>
      <w:r w:rsidR="00383820">
        <w:rPr>
          <w:szCs w:val="24"/>
          <w:lang w:val="en-US"/>
        </w:rPr>
        <w:t>included in</w:t>
      </w:r>
      <w:r w:rsidR="00CE39D7" w:rsidRPr="006A64F0">
        <w:rPr>
          <w:szCs w:val="24"/>
          <w:lang w:val="en-US"/>
        </w:rPr>
        <w:t xml:space="preserve"> </w:t>
      </w:r>
      <w:r w:rsidR="00CE39D7" w:rsidRPr="006A64F0">
        <w:rPr>
          <w:szCs w:val="24"/>
        </w:rPr>
        <w:t>table notes 11 and 12 of Table 16</w:t>
      </w:r>
      <w:r w:rsidR="00C20203">
        <w:rPr>
          <w:szCs w:val="24"/>
        </w:rPr>
        <w:t>B</w:t>
      </w:r>
      <w:r w:rsidR="00CE39D7" w:rsidRPr="006A64F0">
        <w:rPr>
          <w:szCs w:val="24"/>
        </w:rPr>
        <w:t xml:space="preserve"> to clarify application of the equation and the derivation of the horizon antenna gain value in all languages</w:t>
      </w:r>
      <w:r w:rsidR="00CE39D7">
        <w:rPr>
          <w:szCs w:val="24"/>
        </w:rPr>
        <w:t>.</w:t>
      </w:r>
    </w:p>
    <w:p w14:paraId="31BF9C90" w14:textId="77777777" w:rsidR="00CE39D7" w:rsidRDefault="00CE39D7" w:rsidP="00B9168B">
      <w:pPr>
        <w:rPr>
          <w:rFonts w:eastAsia="Droid Sans" w:cstheme="minorBidi"/>
          <w:szCs w:val="24"/>
          <w:lang w:val="en-US"/>
        </w:rPr>
      </w:pPr>
      <w:r>
        <w:rPr>
          <w:szCs w:val="24"/>
        </w:rPr>
        <w:t>8)</w:t>
      </w:r>
      <w:r>
        <w:rPr>
          <w:szCs w:val="24"/>
        </w:rPr>
        <w:tab/>
      </w:r>
      <w:r>
        <w:rPr>
          <w:szCs w:val="24"/>
          <w:lang w:val="en-US"/>
        </w:rPr>
        <w:t>I</w:t>
      </w:r>
      <w:r w:rsidRPr="006A64F0">
        <w:rPr>
          <w:szCs w:val="24"/>
          <w:lang w:val="en-US"/>
        </w:rPr>
        <w:t xml:space="preserve">n Table </w:t>
      </w:r>
      <w:r>
        <w:rPr>
          <w:szCs w:val="24"/>
          <w:lang w:val="en-US"/>
        </w:rPr>
        <w:t>16B</w:t>
      </w:r>
      <w:r w:rsidRPr="006A64F0">
        <w:rPr>
          <w:szCs w:val="24"/>
          <w:lang w:val="en-US"/>
        </w:rPr>
        <w:t xml:space="preserve"> table notes 11 and 12</w:t>
      </w:r>
      <w:r>
        <w:rPr>
          <w:szCs w:val="24"/>
          <w:lang w:val="en-US"/>
        </w:rPr>
        <w:t>,</w:t>
      </w:r>
      <w:r w:rsidRPr="006A64F0">
        <w:rPr>
          <w:szCs w:val="24"/>
          <w:lang w:val="en-US"/>
        </w:rPr>
        <w:t xml:space="preserve"> t</w:t>
      </w:r>
      <w:r w:rsidRPr="006A64F0">
        <w:rPr>
          <w:rFonts w:eastAsia="Droid Sans" w:cstheme="minorBidi"/>
          <w:szCs w:val="24"/>
          <w:lang w:val="en-US"/>
        </w:rPr>
        <w:t>he limiting conditions applied to the equations have been suppressed as they are intended to explain the domain of validity of the equation in a broader context, but in Appendix 7 where the equation is used in conjunction with the minimum elevation angle, this condition is superfluous and thus misleading.</w:t>
      </w:r>
    </w:p>
    <w:p w14:paraId="1EE600FA" w14:textId="77777777" w:rsidR="00CE39D7" w:rsidRPr="006A64F0" w:rsidRDefault="00847711" w:rsidP="00CE39D7">
      <w:pPr>
        <w:rPr>
          <w:szCs w:val="24"/>
        </w:rPr>
      </w:pPr>
      <w:r>
        <w:rPr>
          <w:szCs w:val="24"/>
        </w:rPr>
        <w:t>9)</w:t>
      </w:r>
      <w:r>
        <w:rPr>
          <w:szCs w:val="24"/>
        </w:rPr>
        <w:tab/>
      </w:r>
      <w:r w:rsidR="00CE39D7" w:rsidRPr="006A64F0">
        <w:rPr>
          <w:szCs w:val="24"/>
        </w:rPr>
        <w:t>Discussions between Working Parties have noted that the terminology used in Table 1</w:t>
      </w:r>
      <w:r>
        <w:rPr>
          <w:szCs w:val="24"/>
        </w:rPr>
        <w:t>7</w:t>
      </w:r>
      <w:r w:rsidR="00CE39D7" w:rsidRPr="006A64F0">
        <w:rPr>
          <w:szCs w:val="24"/>
        </w:rPr>
        <w:t xml:space="preserve"> for the type of earth stations is potentially confusing and may lead the reader to identify the wrong allocation. Also, the column headed “Type of earth station” contains information that sometimes refers to the type of earth station and other times that refers to the location for specific applications.</w:t>
      </w:r>
    </w:p>
    <w:p w14:paraId="78C0474A" w14:textId="77777777" w:rsidR="00CE39D7" w:rsidRPr="006A64F0" w:rsidRDefault="00CE39D7" w:rsidP="00CE39D7">
      <w:pPr>
        <w:rPr>
          <w:szCs w:val="24"/>
        </w:rPr>
      </w:pPr>
      <w:r w:rsidRPr="006A64F0">
        <w:rPr>
          <w:szCs w:val="24"/>
        </w:rPr>
        <w:lastRenderedPageBreak/>
        <w:t>Noting that an “aircraft” is inherently mobile, the term “(mobile)” that is the source of the confusion between application and radiocommunication service is unnecessary to the application of coordination for earth stations; therefore, the term is not required.</w:t>
      </w:r>
    </w:p>
    <w:p w14:paraId="037BE53C" w14:textId="65D3A13B" w:rsidR="00CE39D7" w:rsidRDefault="00847711" w:rsidP="00CE39D7">
      <w:pPr>
        <w:rPr>
          <w:szCs w:val="24"/>
        </w:rPr>
      </w:pPr>
      <w:r>
        <w:rPr>
          <w:szCs w:val="24"/>
        </w:rPr>
        <w:t>10</w:t>
      </w:r>
      <w:r>
        <w:rPr>
          <w:szCs w:val="24"/>
        </w:rPr>
        <w:tab/>
      </w:r>
      <w:r w:rsidR="00CE39D7" w:rsidRPr="006A64F0">
        <w:rPr>
          <w:szCs w:val="24"/>
        </w:rPr>
        <w:t xml:space="preserve"> in Table 1</w:t>
      </w:r>
      <w:r>
        <w:rPr>
          <w:szCs w:val="24"/>
        </w:rPr>
        <w:t>7</w:t>
      </w:r>
      <w:r w:rsidR="00CE39D7" w:rsidRPr="006A64F0">
        <w:rPr>
          <w:szCs w:val="24"/>
        </w:rPr>
        <w:t xml:space="preserve"> the term “location” has been added to the columns headed “Type of earth station” and “Type of terrestrial station”, as these columns contain information that sometimes refers to the type of earth station and other times that refer to the loca</w:t>
      </w:r>
      <w:r w:rsidR="00BA507B">
        <w:rPr>
          <w:szCs w:val="24"/>
        </w:rPr>
        <w:t>tion for specific applications</w:t>
      </w:r>
      <w:r w:rsidR="00CE39D7" w:rsidRPr="006A64F0">
        <w:rPr>
          <w:szCs w:val="24"/>
          <w:lang w:val="en-US"/>
        </w:rPr>
        <w:t xml:space="preserve"> e.g. “ground-based”.</w:t>
      </w:r>
    </w:p>
    <w:p w14:paraId="4315F24F" w14:textId="77777777" w:rsidR="002B3137" w:rsidRDefault="002B3137" w:rsidP="00243F58">
      <w:pPr>
        <w:pStyle w:val="Reasons"/>
      </w:pPr>
    </w:p>
    <w:p w14:paraId="3BFD8D6D" w14:textId="77777777" w:rsidR="00D87A80" w:rsidRPr="00C021AC" w:rsidRDefault="002B3137" w:rsidP="00D41033">
      <w:pPr>
        <w:jc w:val="center"/>
      </w:pPr>
      <w:r>
        <w:t>______________</w:t>
      </w:r>
    </w:p>
    <w:sectPr w:rsidR="00D87A80" w:rsidRPr="00C021AC" w:rsidSect="00D02712">
      <w:headerReference w:type="default" r:id="rId21"/>
      <w:footerReference w:type="default" r:id="rId22"/>
      <w:footerReference w:type="first" r:id="rId2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64E97" w14:textId="77777777" w:rsidR="00067C55" w:rsidRDefault="00067C55">
      <w:r>
        <w:separator/>
      </w:r>
    </w:p>
  </w:endnote>
  <w:endnote w:type="continuationSeparator" w:id="0">
    <w:p w14:paraId="4D2ED370" w14:textId="77777777" w:rsidR="00067C55" w:rsidRDefault="0006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Droid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92F8" w14:textId="77777777" w:rsidR="00067C55" w:rsidRPr="002F7CB3" w:rsidRDefault="00067C55">
    <w:pPr>
      <w:pStyle w:val="Footer"/>
      <w:rPr>
        <w:lang w:val="en-US"/>
      </w:rPr>
    </w:pPr>
    <w:fldSimple w:instr=" FILENAME \p  \* MERGEFORMAT ">
      <w:r>
        <w:t>M:\BRSGD\TEXT2019\SG01\200\200e.docx</w:t>
      </w:r>
    </w:fldSimple>
    <w:r>
      <w:tab/>
    </w:r>
    <w:r>
      <w:fldChar w:fldCharType="begin"/>
    </w:r>
    <w:r>
      <w:instrText xml:space="preserve"> SAVEDATE \@ DD.MM.YY </w:instrText>
    </w:r>
    <w:r>
      <w:fldChar w:fldCharType="separate"/>
    </w:r>
    <w:r>
      <w:t>05.06.19</w:t>
    </w:r>
    <w:r>
      <w:fldChar w:fldCharType="end"/>
    </w:r>
    <w:r>
      <w:tab/>
    </w:r>
    <w:r>
      <w:fldChar w:fldCharType="begin"/>
    </w:r>
    <w:r>
      <w:instrText xml:space="preserve"> PRINTDATE \@ DD.MM.YY </w:instrText>
    </w:r>
    <w:r>
      <w:fldChar w:fldCharType="separate"/>
    </w:r>
    <w:r>
      <w:t>05.06.19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351A" w14:textId="77777777" w:rsidR="00067C55" w:rsidRPr="002B3137" w:rsidRDefault="00067C55" w:rsidP="002B3137">
    <w:pPr>
      <w:pStyle w:val="Footer"/>
    </w:pPr>
    <w:r>
      <w:rPr>
        <w:lang w:val="en-US"/>
      </w:rPr>
      <w:fldChar w:fldCharType="begin"/>
    </w:r>
    <w:r>
      <w:rPr>
        <w:lang w:val="en-US"/>
      </w:rPr>
      <w:instrText xml:space="preserve"> FILENAME \p \* MERGEFORMAT </w:instrText>
    </w:r>
    <w:r>
      <w:rPr>
        <w:lang w:val="en-US"/>
      </w:rPr>
      <w:fldChar w:fldCharType="separate"/>
    </w:r>
    <w:r>
      <w:rPr>
        <w:lang w:val="en-US"/>
      </w:rPr>
      <w:t>M:\BRSGD\TEXT2019\SG01\200\200e.docx</w:t>
    </w:r>
    <w:r>
      <w:fldChar w:fldCharType="end"/>
    </w:r>
    <w:r>
      <w:t xml:space="preserve"> ( )</w:t>
    </w:r>
    <w:r w:rsidRPr="002F7CB3">
      <w:rPr>
        <w:lang w:val="en-US"/>
      </w:rPr>
      <w:tab/>
    </w:r>
    <w:r>
      <w:fldChar w:fldCharType="begin"/>
    </w:r>
    <w:r>
      <w:instrText xml:space="preserve"> savedate \@ dd.MM.yy </w:instrText>
    </w:r>
    <w:r>
      <w:fldChar w:fldCharType="separate"/>
    </w:r>
    <w:r>
      <w:t>05.06.19</w:t>
    </w:r>
    <w:r>
      <w:fldChar w:fldCharType="end"/>
    </w:r>
    <w:r w:rsidRPr="002F7CB3">
      <w:rPr>
        <w:lang w:val="en-US"/>
      </w:rPr>
      <w:tab/>
    </w:r>
    <w:r>
      <w:fldChar w:fldCharType="begin"/>
    </w:r>
    <w:r>
      <w:instrText xml:space="preserve"> printdate \@ dd.MM.yy </w:instrText>
    </w:r>
    <w:r>
      <w:fldChar w:fldCharType="separate"/>
    </w:r>
    <w:r>
      <w:t>05.06.19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9C5CA" w14:textId="77777777" w:rsidR="00067C55" w:rsidRDefault="00067C55">
      <w:r>
        <w:t>____________________</w:t>
      </w:r>
    </w:p>
  </w:footnote>
  <w:footnote w:type="continuationSeparator" w:id="0">
    <w:p w14:paraId="33A9E4B1" w14:textId="77777777" w:rsidR="00067C55" w:rsidRDefault="00067C55">
      <w:r>
        <w:continuationSeparator/>
      </w:r>
    </w:p>
  </w:footnote>
  <w:footnote w:id="1">
    <w:p w14:paraId="253244C2" w14:textId="77777777" w:rsidR="00067C55" w:rsidRPr="003F0F1D" w:rsidRDefault="00067C55" w:rsidP="00B9168B">
      <w:pPr>
        <w:pStyle w:val="FootnoteText"/>
        <w:rPr>
          <w:sz w:val="20"/>
        </w:rPr>
      </w:pPr>
      <w:r w:rsidRPr="00912D1B">
        <w:rPr>
          <w:rStyle w:val="FootnoteReference"/>
          <w:szCs w:val="18"/>
        </w:rPr>
        <w:footnoteRef/>
      </w:r>
      <w:r w:rsidRPr="003F0F1D">
        <w:rPr>
          <w:sz w:val="20"/>
        </w:rPr>
        <w:t xml:space="preserve"> </w:t>
      </w:r>
      <w:r w:rsidRPr="003F0F1D">
        <w:rPr>
          <w:sz w:val="20"/>
        </w:rPr>
        <w:tab/>
      </w:r>
      <w:r w:rsidRPr="00052ED0">
        <w:t>Agreed</w:t>
      </w:r>
      <w:r w:rsidRPr="00912D1B">
        <w:t xml:space="preserve"> by World Administrative Radio Conference </w:t>
      </w:r>
      <w:r>
        <w:t xml:space="preserve">(WARC) </w:t>
      </w:r>
      <w:r w:rsidRPr="00912D1B">
        <w:t>for Space Telecommunications, Geneva, 1971 and revised by subsequent conferences based on CCIR Recommendation 359 and CCIR Report 382.</w:t>
      </w:r>
    </w:p>
  </w:footnote>
  <w:footnote w:id="2">
    <w:p w14:paraId="14849FCB" w14:textId="77777777" w:rsidR="00067C55" w:rsidRPr="000A6A6A" w:rsidRDefault="00067C55" w:rsidP="00B9168B">
      <w:pPr>
        <w:pStyle w:val="FootnoteText"/>
        <w:rPr>
          <w:sz w:val="20"/>
        </w:rPr>
      </w:pPr>
      <w:r w:rsidRPr="00912D1B">
        <w:rPr>
          <w:rStyle w:val="FootnoteReference"/>
          <w:szCs w:val="18"/>
        </w:rPr>
        <w:footnoteRef/>
      </w:r>
      <w:r w:rsidRPr="003F0F1D">
        <w:rPr>
          <w:sz w:val="20"/>
        </w:rPr>
        <w:t xml:space="preserve"> </w:t>
      </w:r>
      <w:r w:rsidRPr="003F0F1D">
        <w:rPr>
          <w:sz w:val="20"/>
        </w:rPr>
        <w:tab/>
      </w:r>
      <w:r w:rsidRPr="00052ED0">
        <w:t>Procedures</w:t>
      </w:r>
      <w:r w:rsidRPr="000A6A6A">
        <w:t xml:space="preserve"> covering the frequency bands between 1 GHz and 10 GHz date back to the Extraordinary Administrative Radio Conference to allocate frequency bands for Space Radiocommunication purposes, Geneva, 1963.</w:t>
      </w:r>
    </w:p>
  </w:footnote>
  <w:footnote w:id="3">
    <w:p w14:paraId="3EF2F601" w14:textId="77777777" w:rsidR="00067C55" w:rsidRPr="000A6A6A" w:rsidRDefault="00067C55" w:rsidP="00B9168B">
      <w:pPr>
        <w:pStyle w:val="FootnoteText"/>
      </w:pPr>
      <w:r w:rsidRPr="000A6A6A">
        <w:rPr>
          <w:rStyle w:val="FootnoteReference"/>
        </w:rPr>
        <w:footnoteRef/>
      </w:r>
      <w:r w:rsidRPr="000A6A6A">
        <w:t xml:space="preserve"> </w:t>
      </w:r>
      <w:r>
        <w:tab/>
      </w:r>
      <w:r w:rsidRPr="00052ED0">
        <w:t>Resolution</w:t>
      </w:r>
      <w:r w:rsidRPr="000A6A6A">
        <w:t xml:space="preserve"> </w:t>
      </w:r>
      <w:r w:rsidRPr="000A6A6A">
        <w:rPr>
          <w:b/>
        </w:rPr>
        <w:t>60</w:t>
      </w:r>
      <w:r w:rsidRPr="000A6A6A">
        <w:t xml:space="preserve"> (</w:t>
      </w:r>
      <w:r w:rsidRPr="000A6A6A">
        <w:rPr>
          <w:b/>
        </w:rPr>
        <w:t>WARC-79</w:t>
      </w:r>
      <w:r w:rsidRPr="000A6A6A">
        <w:t xml:space="preserve">) required that the propagation information be maintained in a form that it may be directly inserted into Appendix </w:t>
      </w:r>
      <w:r w:rsidRPr="000A6A6A">
        <w:rPr>
          <w:b/>
        </w:rPr>
        <w:t>28</w:t>
      </w:r>
      <w:r w:rsidRPr="000A6A6A">
        <w:t xml:space="preserve">. </w:t>
      </w:r>
    </w:p>
  </w:footnote>
  <w:footnote w:id="4">
    <w:p w14:paraId="09D4543E" w14:textId="77777777" w:rsidR="00067C55" w:rsidRPr="000A6A6A" w:rsidRDefault="00067C55" w:rsidP="00B9168B">
      <w:pPr>
        <w:pStyle w:val="FootnoteText"/>
      </w:pPr>
      <w:r w:rsidRPr="000A6A6A">
        <w:rPr>
          <w:rStyle w:val="FootnoteReference"/>
        </w:rPr>
        <w:footnoteRef/>
      </w:r>
      <w:r w:rsidRPr="000A6A6A">
        <w:t xml:space="preserve"> </w:t>
      </w:r>
      <w:r>
        <w:tab/>
      </w:r>
      <w:r w:rsidRPr="000A6A6A">
        <w:t xml:space="preserve">WRC-95 initiated a review of Appendix </w:t>
      </w:r>
      <w:r w:rsidRPr="000A6A6A">
        <w:rPr>
          <w:b/>
        </w:rPr>
        <w:t>28</w:t>
      </w:r>
      <w:r w:rsidRPr="000A6A6A">
        <w:t xml:space="preserve"> (</w:t>
      </w:r>
      <w:r w:rsidRPr="000A6A6A">
        <w:rPr>
          <w:b/>
        </w:rPr>
        <w:t>S7</w:t>
      </w:r>
      <w:r w:rsidRPr="000A6A6A">
        <w:t>) but work towards the revision of Appendix </w:t>
      </w:r>
      <w:r w:rsidRPr="000A6A6A">
        <w:rPr>
          <w:b/>
        </w:rPr>
        <w:t>28 (S7)</w:t>
      </w:r>
      <w:r w:rsidRPr="000A6A6A">
        <w:t xml:space="preserve"> actually commenced with the development of the IS series Recommendations.</w:t>
      </w:r>
    </w:p>
  </w:footnote>
  <w:footnote w:id="5">
    <w:p w14:paraId="31B073C4" w14:textId="77777777" w:rsidR="00067C55" w:rsidRPr="000A6A6A" w:rsidRDefault="00067C55" w:rsidP="00B9168B">
      <w:pPr>
        <w:pStyle w:val="FootnoteText"/>
      </w:pPr>
      <w:r w:rsidRPr="000A6A6A">
        <w:rPr>
          <w:rStyle w:val="FootnoteReference"/>
        </w:rPr>
        <w:footnoteRef/>
      </w:r>
      <w:r w:rsidRPr="000A6A6A">
        <w:t xml:space="preserve"> </w:t>
      </w:r>
      <w:r>
        <w:tab/>
      </w:r>
      <w:r w:rsidRPr="000A6A6A">
        <w:t xml:space="preserve">Work in </w:t>
      </w:r>
      <w:r w:rsidRPr="00052ED0">
        <w:t>SG</w:t>
      </w:r>
      <w:r>
        <w:t> </w:t>
      </w:r>
      <w:r w:rsidRPr="00052ED0">
        <w:t>1</w:t>
      </w:r>
      <w:r w:rsidRPr="000A6A6A">
        <w:t xml:space="preserve"> led to the extension of the frequency band to 100</w:t>
      </w:r>
      <w:r w:rsidRPr="000A6A6A">
        <w:rPr>
          <w:i/>
          <w:iCs/>
          <w:szCs w:val="24"/>
        </w:rPr>
        <w:t> </w:t>
      </w:r>
      <w:r w:rsidRPr="000A6A6A">
        <w:t>MHz-105</w:t>
      </w:r>
      <w:r w:rsidRPr="000A6A6A">
        <w:rPr>
          <w:i/>
          <w:iCs/>
          <w:szCs w:val="24"/>
        </w:rPr>
        <w:t> </w:t>
      </w:r>
      <w:r w:rsidRPr="000A6A6A">
        <w:t>GHz.</w:t>
      </w:r>
    </w:p>
  </w:footnote>
  <w:footnote w:id="6">
    <w:p w14:paraId="5955E43E" w14:textId="77777777" w:rsidR="00067C55" w:rsidRPr="003F0F1D" w:rsidRDefault="00067C55" w:rsidP="00B9168B">
      <w:pPr>
        <w:pStyle w:val="FootnoteText"/>
        <w:keepNext/>
        <w:spacing w:before="60"/>
        <w:rPr>
          <w:sz w:val="20"/>
        </w:rPr>
      </w:pPr>
      <w:r w:rsidRPr="000A6A6A">
        <w:rPr>
          <w:rStyle w:val="FootnoteReference"/>
          <w:szCs w:val="18"/>
        </w:rPr>
        <w:footnoteRef/>
      </w:r>
      <w:r>
        <w:rPr>
          <w:sz w:val="18"/>
          <w:szCs w:val="18"/>
        </w:rPr>
        <w:tab/>
      </w:r>
      <w:r w:rsidRPr="000A6A6A">
        <w:rPr>
          <w:szCs w:val="24"/>
        </w:rPr>
        <w:t>The revision of Appendix S</w:t>
      </w:r>
      <w:r w:rsidRPr="000A6A6A">
        <w:rPr>
          <w:b/>
          <w:szCs w:val="24"/>
        </w:rPr>
        <w:t>7</w:t>
      </w:r>
      <w:r w:rsidRPr="000A6A6A">
        <w:rPr>
          <w:szCs w:val="24"/>
        </w:rPr>
        <w:t xml:space="preserve"> of the Radio Regulations at WRC-2000 also introduced changes to other provisions of the Radio Regulations, including Article </w:t>
      </w:r>
      <w:r w:rsidRPr="000A6A6A">
        <w:rPr>
          <w:b/>
          <w:szCs w:val="24"/>
        </w:rPr>
        <w:t>1</w:t>
      </w:r>
      <w:r w:rsidRPr="000A6A6A">
        <w:rPr>
          <w:szCs w:val="24"/>
        </w:rPr>
        <w:t>, Appendix S</w:t>
      </w:r>
      <w:r w:rsidRPr="000A6A6A">
        <w:rPr>
          <w:b/>
          <w:szCs w:val="24"/>
        </w:rPr>
        <w:t>4</w:t>
      </w:r>
      <w:r w:rsidRPr="000A6A6A">
        <w:rPr>
          <w:szCs w:val="24"/>
        </w:rPr>
        <w:t xml:space="preserve"> and Appendix S</w:t>
      </w:r>
      <w:r w:rsidRPr="000A6A6A">
        <w:rPr>
          <w:b/>
          <w:szCs w:val="24"/>
        </w:rPr>
        <w:t>5</w:t>
      </w:r>
      <w:r w:rsidRPr="000A6A6A">
        <w:rPr>
          <w:szCs w:val="24"/>
        </w:rPr>
        <w:t xml:space="preserve"> (see the CPM Report to WRC-2000)</w:t>
      </w:r>
      <w:r w:rsidRPr="000A6A6A">
        <w:rPr>
          <w:sz w:val="20"/>
        </w:rPr>
        <w:t>.</w:t>
      </w:r>
    </w:p>
  </w:footnote>
  <w:footnote w:id="7">
    <w:p w14:paraId="4F2207A6" w14:textId="77777777" w:rsidR="00067C55" w:rsidRPr="003F0F1D" w:rsidRDefault="00067C55" w:rsidP="00B9168B">
      <w:pPr>
        <w:pStyle w:val="FootnoteText"/>
        <w:keepNext/>
        <w:spacing w:before="60"/>
        <w:rPr>
          <w:sz w:val="20"/>
        </w:rPr>
      </w:pPr>
      <w:r w:rsidRPr="00912D1B">
        <w:rPr>
          <w:rStyle w:val="FootnoteReference"/>
          <w:szCs w:val="18"/>
        </w:rPr>
        <w:footnoteRef/>
      </w:r>
      <w:r>
        <w:rPr>
          <w:sz w:val="20"/>
        </w:rPr>
        <w:tab/>
      </w:r>
      <w:r w:rsidRPr="00912D1B">
        <w:rPr>
          <w:szCs w:val="24"/>
        </w:rPr>
        <w:t xml:space="preserve">Prior to </w:t>
      </w:r>
      <w:r w:rsidRPr="00912D1B">
        <w:rPr>
          <w:szCs w:val="24"/>
          <w:lang w:val="en-US"/>
        </w:rPr>
        <w:t xml:space="preserve">WRC-2000, the Radio Regulations referenced Appendix </w:t>
      </w:r>
      <w:r w:rsidRPr="009765B8">
        <w:rPr>
          <w:b/>
          <w:szCs w:val="24"/>
          <w:lang w:val="en-US"/>
        </w:rPr>
        <w:t>S5</w:t>
      </w:r>
      <w:r w:rsidRPr="00912D1B">
        <w:rPr>
          <w:szCs w:val="24"/>
          <w:lang w:val="en-US"/>
        </w:rPr>
        <w:t xml:space="preserve">, Appendix </w:t>
      </w:r>
      <w:r w:rsidRPr="009765B8">
        <w:rPr>
          <w:b/>
          <w:szCs w:val="24"/>
          <w:lang w:val="en-US"/>
        </w:rPr>
        <w:t>S7</w:t>
      </w:r>
      <w:r w:rsidRPr="00912D1B">
        <w:rPr>
          <w:szCs w:val="24"/>
          <w:lang w:val="en-US"/>
        </w:rPr>
        <w:t xml:space="preserve"> and </w:t>
      </w:r>
      <w:r>
        <w:rPr>
          <w:szCs w:val="24"/>
          <w:lang w:val="en-US"/>
        </w:rPr>
        <w:t>four</w:t>
      </w:r>
      <w:r w:rsidRPr="00912D1B">
        <w:rPr>
          <w:szCs w:val="24"/>
          <w:lang w:val="en-US"/>
        </w:rPr>
        <w:t xml:space="preserve"> ITU</w:t>
      </w:r>
      <w:r>
        <w:rPr>
          <w:szCs w:val="24"/>
          <w:lang w:val="en-US"/>
        </w:rPr>
        <w:noBreakHyphen/>
      </w:r>
      <w:r w:rsidRPr="00912D1B">
        <w:rPr>
          <w:szCs w:val="24"/>
          <w:lang w:val="en-US"/>
        </w:rPr>
        <w:t xml:space="preserve">R </w:t>
      </w:r>
      <w:r>
        <w:rPr>
          <w:szCs w:val="24"/>
        </w:rPr>
        <w:t xml:space="preserve">Recommendations (IS.847, 848, 849 and 850) </w:t>
      </w:r>
      <w:r w:rsidRPr="00912D1B">
        <w:rPr>
          <w:szCs w:val="24"/>
        </w:rPr>
        <w:t>for the determination of the coordination area around an earth station</w:t>
      </w:r>
      <w:r w:rsidRPr="00912D1B">
        <w:rPr>
          <w:szCs w:val="24"/>
          <w:lang w:val="en-US"/>
        </w:rPr>
        <w:t>.</w:t>
      </w:r>
    </w:p>
  </w:footnote>
  <w:footnote w:id="8">
    <w:p w14:paraId="678C3F13" w14:textId="77777777" w:rsidR="00067C55" w:rsidRPr="00912D1B" w:rsidRDefault="00067C55" w:rsidP="00B9168B">
      <w:pPr>
        <w:pStyle w:val="FootnoteText"/>
        <w:keepNext/>
        <w:spacing w:before="60"/>
        <w:rPr>
          <w:szCs w:val="24"/>
        </w:rPr>
      </w:pPr>
      <w:r w:rsidRPr="00912D1B">
        <w:rPr>
          <w:rStyle w:val="FootnoteReference"/>
          <w:szCs w:val="18"/>
        </w:rPr>
        <w:footnoteRef/>
      </w:r>
      <w:r>
        <w:rPr>
          <w:sz w:val="20"/>
        </w:rPr>
        <w:tab/>
      </w:r>
      <w:r w:rsidRPr="00912D1B">
        <w:rPr>
          <w:szCs w:val="24"/>
        </w:rPr>
        <w:t xml:space="preserve">Formerly Appendix </w:t>
      </w:r>
      <w:r w:rsidRPr="009765B8">
        <w:rPr>
          <w:b/>
          <w:szCs w:val="24"/>
        </w:rPr>
        <w:t>28</w:t>
      </w:r>
      <w:r w:rsidRPr="00912D1B">
        <w:rPr>
          <w:szCs w:val="24"/>
        </w:rPr>
        <w:t xml:space="preserve"> of the Radio Regulations 1994, the “S” in Appendix </w:t>
      </w:r>
      <w:r w:rsidRPr="00912D1B">
        <w:rPr>
          <w:b/>
          <w:szCs w:val="24"/>
        </w:rPr>
        <w:t>S7</w:t>
      </w:r>
      <w:r w:rsidRPr="00912D1B">
        <w:rPr>
          <w:szCs w:val="24"/>
        </w:rPr>
        <w:t xml:space="preserve"> was used to denote the new structure for the </w:t>
      </w:r>
      <w:r w:rsidRPr="000A6A6A">
        <w:rPr>
          <w:szCs w:val="24"/>
        </w:rPr>
        <w:t xml:space="preserve">Radio Regulations adopted by WRC-95 and WRC-97. The use of the prefix “S” was suppressed by WRC-2000.  Between WRC-95 and WRC-2000 the method of referencing Appendix </w:t>
      </w:r>
      <w:r w:rsidRPr="000A6A6A">
        <w:rPr>
          <w:b/>
          <w:szCs w:val="24"/>
        </w:rPr>
        <w:t>S7</w:t>
      </w:r>
      <w:r w:rsidRPr="000A6A6A">
        <w:rPr>
          <w:szCs w:val="24"/>
        </w:rPr>
        <w:t xml:space="preserve"> varied and therefore throughout the rest of this document reference is to Appendix </w:t>
      </w:r>
      <w:r w:rsidRPr="000A6A6A">
        <w:rPr>
          <w:b/>
          <w:szCs w:val="24"/>
        </w:rPr>
        <w:t>7</w:t>
      </w:r>
      <w:r w:rsidRPr="000A6A6A">
        <w:rPr>
          <w:szCs w:val="24"/>
        </w:rPr>
        <w:t>, unless use of “28” or “S7” is part of a quotation, title or for explicit confirmation of the version referenced.</w:t>
      </w:r>
    </w:p>
  </w:footnote>
  <w:footnote w:id="9">
    <w:p w14:paraId="0A5C9898" w14:textId="77777777" w:rsidR="00067C55" w:rsidRDefault="00067C55" w:rsidP="00B9168B">
      <w:pPr>
        <w:pStyle w:val="FootnoteText"/>
        <w:keepNext/>
      </w:pPr>
      <w:r>
        <w:rPr>
          <w:rStyle w:val="FootnoteReference"/>
        </w:rPr>
        <w:footnoteRef/>
      </w:r>
      <w:r>
        <w:tab/>
        <w:t xml:space="preserve">Originally WRC-99, the Conference was rescheduled to </w:t>
      </w:r>
      <w:r w:rsidRPr="0041424A">
        <w:t>8 M</w:t>
      </w:r>
      <w:r>
        <w:t>ay</w:t>
      </w:r>
      <w:r w:rsidRPr="0041424A">
        <w:t xml:space="preserve"> – 2 J</w:t>
      </w:r>
      <w:r>
        <w:t>une 2000 and became WRC</w:t>
      </w:r>
      <w:r>
        <w:noBreakHyphen/>
        <w:t>2000.</w:t>
      </w:r>
    </w:p>
  </w:footnote>
  <w:footnote w:id="10">
    <w:p w14:paraId="1D56A6C9" w14:textId="77777777" w:rsidR="00067C55" w:rsidRDefault="00067C55" w:rsidP="00B9168B">
      <w:pPr>
        <w:pStyle w:val="FootnoteText"/>
      </w:pPr>
      <w:r>
        <w:rPr>
          <w:rStyle w:val="FootnoteReference"/>
        </w:rPr>
        <w:footnoteRef/>
      </w:r>
      <w:r>
        <w:tab/>
        <w:t>A new mechanism was required so that the system parameter tables could be updated in the future (see TG1/6 Chairman’s Report of the 4</w:t>
      </w:r>
      <w:r w:rsidRPr="009765B8">
        <w:rPr>
          <w:vertAlign w:val="superscript"/>
        </w:rPr>
        <w:t>th</w:t>
      </w:r>
      <w:r>
        <w:t xml:space="preserve"> meeting. Document 1/6-93, 24</w:t>
      </w:r>
      <w:r w:rsidRPr="009765B8">
        <w:rPr>
          <w:vertAlign w:val="superscript"/>
        </w:rPr>
        <w:t>th</w:t>
      </w:r>
      <w:r>
        <w:t xml:space="preserve"> May 1999). See also Resolution </w:t>
      </w:r>
      <w:r w:rsidRPr="009765B8">
        <w:rPr>
          <w:b/>
        </w:rPr>
        <w:t>74</w:t>
      </w:r>
      <w:r>
        <w:t xml:space="preserve"> (</w:t>
      </w:r>
      <w:r>
        <w:rPr>
          <w:b/>
        </w:rPr>
        <w:t>Rev.</w:t>
      </w:r>
      <w:r w:rsidRPr="009765B8">
        <w:rPr>
          <w:b/>
        </w:rPr>
        <w:t>WRC-03</w:t>
      </w:r>
      <w:r>
        <w:t xml:space="preserve">) </w:t>
      </w:r>
      <w:r w:rsidRPr="001B3777">
        <w:rPr>
          <w:i/>
        </w:rPr>
        <w:t>considering e)</w:t>
      </w:r>
      <w:r w:rsidRPr="001B3777">
        <w:t xml:space="preserve"> </w:t>
      </w:r>
      <w:r w:rsidRPr="001B3777">
        <w:rPr>
          <w:color w:val="000000"/>
          <w:lang w:val="en-US"/>
        </w:rPr>
        <w:t>that the technical coordination parameter tables may also need to be modified when changes are made to the Table of Frequency Allocations at future world radiocommunication conferences (WRCs), or due to changes in technology or in applications;</w:t>
      </w:r>
    </w:p>
  </w:footnote>
  <w:footnote w:id="11">
    <w:p w14:paraId="20491CE7" w14:textId="77777777" w:rsidR="00067C55" w:rsidRDefault="00067C55" w:rsidP="00B9168B">
      <w:pPr>
        <w:pStyle w:val="FootnoteText"/>
      </w:pPr>
      <w:r>
        <w:rPr>
          <w:rStyle w:val="FootnoteReference"/>
        </w:rPr>
        <w:footnoteRef/>
      </w:r>
      <w:r>
        <w:tab/>
        <w:t>See Administrative Circular CACE/91, 7 April 1997.</w:t>
      </w:r>
    </w:p>
  </w:footnote>
  <w:footnote w:id="12">
    <w:p w14:paraId="2FE68004" w14:textId="77777777" w:rsidR="00067C55" w:rsidRDefault="00067C55" w:rsidP="00B9168B">
      <w:pPr>
        <w:pStyle w:val="FootnoteText"/>
      </w:pPr>
      <w:r>
        <w:rPr>
          <w:rStyle w:val="FootnoteReference"/>
        </w:rPr>
        <w:footnoteRef/>
      </w:r>
      <w:r>
        <w:tab/>
      </w:r>
      <w:r>
        <w:rPr>
          <w:lang w:eastAsia="en-GB"/>
        </w:rPr>
        <w:t xml:space="preserve">The </w:t>
      </w:r>
      <w:r w:rsidRPr="00052ED0">
        <w:t>suppression</w:t>
      </w:r>
      <w:r>
        <w:rPr>
          <w:lang w:eastAsia="en-GB"/>
        </w:rPr>
        <w:t xml:space="preserve"> included </w:t>
      </w:r>
      <w:r w:rsidRPr="000A6A6A">
        <w:rPr>
          <w:iCs/>
          <w:szCs w:val="24"/>
        </w:rPr>
        <w:t>Recommendation ITU-R IS.850-1 (1995)</w:t>
      </w:r>
      <w:r w:rsidRPr="009765B8">
        <w:rPr>
          <w:i/>
          <w:iCs/>
          <w:szCs w:val="24"/>
        </w:rPr>
        <w:t xml:space="preserve"> Coordination Areas Using Predetermined Coordination Distances</w:t>
      </w:r>
      <w:r>
        <w:rPr>
          <w:iCs/>
          <w:szCs w:val="24"/>
        </w:rPr>
        <w:t>, as t</w:t>
      </w:r>
      <w:r w:rsidRPr="002625BF">
        <w:rPr>
          <w:lang w:eastAsia="en-GB"/>
        </w:rPr>
        <w:t xml:space="preserve">he revision of Appendix </w:t>
      </w:r>
      <w:r w:rsidRPr="002625BF">
        <w:rPr>
          <w:b/>
          <w:lang w:eastAsia="en-GB"/>
        </w:rPr>
        <w:t>7</w:t>
      </w:r>
      <w:r w:rsidRPr="002625BF">
        <w:rPr>
          <w:lang w:eastAsia="en-GB"/>
        </w:rPr>
        <w:t xml:space="preserve"> at WRC-2000</w:t>
      </w:r>
      <w:r>
        <w:rPr>
          <w:lang w:eastAsia="en-GB"/>
        </w:rPr>
        <w:t xml:space="preserve"> </w:t>
      </w:r>
      <w:r w:rsidRPr="002625BF">
        <w:rPr>
          <w:lang w:eastAsia="en-GB"/>
        </w:rPr>
        <w:t xml:space="preserve">included moving the predetermined coordination distances from Appendix </w:t>
      </w:r>
      <w:r w:rsidRPr="002625BF">
        <w:rPr>
          <w:b/>
          <w:lang w:eastAsia="en-GB"/>
        </w:rPr>
        <w:t>5</w:t>
      </w:r>
      <w:r w:rsidRPr="002625BF">
        <w:rPr>
          <w:lang w:eastAsia="en-GB"/>
        </w:rPr>
        <w:t xml:space="preserve"> to Appendix </w:t>
      </w:r>
      <w:r w:rsidRPr="002625BF">
        <w:rPr>
          <w:b/>
          <w:lang w:eastAsia="en-GB"/>
        </w:rPr>
        <w:t>7</w:t>
      </w:r>
      <w:r w:rsidRPr="002625BF">
        <w:rPr>
          <w:lang w:eastAsia="en-GB"/>
        </w:rPr>
        <w:t xml:space="preserve">, the addition of new data items to Appendix </w:t>
      </w:r>
      <w:r w:rsidRPr="00201A3C">
        <w:rPr>
          <w:b/>
          <w:lang w:eastAsia="en-GB"/>
        </w:rPr>
        <w:t>4</w:t>
      </w:r>
      <w:r w:rsidRPr="00D42A76">
        <w:rPr>
          <w:lang w:eastAsia="en-GB"/>
        </w:rPr>
        <w:t>,</w:t>
      </w:r>
      <w:r w:rsidRPr="002625BF">
        <w:rPr>
          <w:lang w:eastAsia="en-GB"/>
        </w:rPr>
        <w:t xml:space="preserve"> and new and revised definitions in Article </w:t>
      </w:r>
      <w:r w:rsidRPr="002625BF">
        <w:rPr>
          <w:b/>
          <w:lang w:eastAsia="en-GB"/>
        </w:rPr>
        <w:t>1</w:t>
      </w:r>
      <w:r w:rsidRPr="002625BF">
        <w:rPr>
          <w:lang w:eastAsia="en-GB"/>
        </w:rPr>
        <w:t>.</w:t>
      </w:r>
    </w:p>
  </w:footnote>
  <w:footnote w:id="13">
    <w:p w14:paraId="38C9F8D6" w14:textId="77777777" w:rsidR="00067C55" w:rsidRDefault="00067C55" w:rsidP="00B9168B">
      <w:pPr>
        <w:pStyle w:val="FootnoteText"/>
      </w:pPr>
      <w:r>
        <w:rPr>
          <w:rStyle w:val="FootnoteReference"/>
        </w:rPr>
        <w:footnoteRef/>
      </w:r>
      <w:r>
        <w:tab/>
      </w:r>
      <w:r w:rsidRPr="00052ED0">
        <w:t>Resolution</w:t>
      </w:r>
      <w:r>
        <w:t xml:space="preserve"> </w:t>
      </w:r>
      <w:r w:rsidRPr="009765B8">
        <w:rPr>
          <w:b/>
        </w:rPr>
        <w:t>71</w:t>
      </w:r>
      <w:r>
        <w:rPr>
          <w:b/>
        </w:rPr>
        <w:t>8</w:t>
      </w:r>
      <w:r>
        <w:t xml:space="preserve"> (</w:t>
      </w:r>
      <w:r w:rsidRPr="009765B8">
        <w:rPr>
          <w:b/>
        </w:rPr>
        <w:t>WRC-95</w:t>
      </w:r>
      <w:r>
        <w:t>) Agenda for the 1997 WRC and Decision (Doc. 1/45).</w:t>
      </w:r>
    </w:p>
  </w:footnote>
  <w:footnote w:id="14">
    <w:p w14:paraId="375C0C59" w14:textId="77777777" w:rsidR="00067C55" w:rsidRDefault="00067C55" w:rsidP="00B9168B">
      <w:pPr>
        <w:pStyle w:val="FootnoteText"/>
      </w:pPr>
      <w:r>
        <w:rPr>
          <w:rStyle w:val="FootnoteReference"/>
        </w:rPr>
        <w:footnoteRef/>
      </w:r>
      <w:r>
        <w:tab/>
      </w:r>
      <w:r w:rsidRPr="00052ED0">
        <w:t>TG1</w:t>
      </w:r>
      <w:r>
        <w:t>/6 Chairman’s Report of the 2</w:t>
      </w:r>
      <w:r w:rsidRPr="009765B8">
        <w:rPr>
          <w:vertAlign w:val="superscript"/>
        </w:rPr>
        <w:t>nd</w:t>
      </w:r>
      <w:r>
        <w:t xml:space="preserve"> meeting. Document</w:t>
      </w:r>
      <w:r>
        <w:rPr>
          <w:szCs w:val="24"/>
        </w:rPr>
        <w:t xml:space="preserve"> TG1/6-21, 3 </w:t>
      </w:r>
      <w:r>
        <w:rPr>
          <w:szCs w:val="24"/>
        </w:rPr>
        <w:tab/>
        <w:t>April 1998</w:t>
      </w:r>
    </w:p>
  </w:footnote>
  <w:footnote w:id="15">
    <w:p w14:paraId="61528DAB" w14:textId="77777777" w:rsidR="00067C55" w:rsidRDefault="00067C55" w:rsidP="00B9168B">
      <w:pPr>
        <w:pStyle w:val="FootnoteText"/>
      </w:pPr>
      <w:r w:rsidRPr="006A2207">
        <w:rPr>
          <w:rStyle w:val="FootnoteReference"/>
        </w:rPr>
        <w:footnoteRef/>
      </w:r>
      <w:r w:rsidRPr="006A2207">
        <w:tab/>
      </w:r>
      <w:r w:rsidRPr="006D410C">
        <w:t>Recommendation ITU-R P. 620-</w:t>
      </w:r>
      <w:r>
        <w:t>2</w:t>
      </w:r>
      <w:r w:rsidRPr="006D410C">
        <w:t>, as modified by WP 3M Liaison statement to TG 1/6 Document 1-6/23, 21 May 1998; Chairman WP 3M to the Chairman of TG 1/6 Liaison statements, Document 1</w:t>
      </w:r>
      <w:r w:rsidRPr="006D410C">
        <w:noBreakHyphen/>
        <w:t>6/27 (Documents 3M/54 and 3M</w:t>
      </w:r>
      <w:r>
        <w:t>/</w:t>
      </w:r>
      <w:r w:rsidRPr="006D410C">
        <w:t>55), 1 September 1998 and Document 1-6/39.</w:t>
      </w:r>
      <w:r>
        <w:t xml:space="preserve"> </w:t>
      </w:r>
      <w:r w:rsidRPr="006D410C">
        <w:t>9</w:t>
      </w:r>
      <w:r>
        <w:t> </w:t>
      </w:r>
      <w:r w:rsidRPr="006D410C">
        <w:t>October 1998.</w:t>
      </w:r>
    </w:p>
  </w:footnote>
  <w:footnote w:id="16">
    <w:p w14:paraId="3711C312" w14:textId="77777777" w:rsidR="00067C55" w:rsidRDefault="00067C55" w:rsidP="00D41033">
      <w:pPr>
        <w:pStyle w:val="FootnoteText"/>
        <w:keepNext/>
      </w:pPr>
      <w:r w:rsidRPr="005A642A">
        <w:rPr>
          <w:rStyle w:val="FootnoteReference"/>
        </w:rPr>
        <w:footnoteRef/>
      </w:r>
      <w:r w:rsidRPr="005A642A">
        <w:tab/>
        <w:t>Drafting Group 1 PDNR ITU-R SM.[   ] Determination of the coordination area around an earth station in frequency bands between 0.1 GHz and 105 GHz. Document 1/6-99-2, 22 October 1999.</w:t>
      </w:r>
      <w:r>
        <w:t xml:space="preserve"> </w:t>
      </w:r>
      <w:r>
        <w:br/>
        <w:t xml:space="preserve">Recommendation ITU-R SM.1448-0, </w:t>
      </w:r>
      <w:r w:rsidRPr="009765B8">
        <w:rPr>
          <w:i/>
        </w:rPr>
        <w:t>considering g</w:t>
      </w:r>
      <w:r w:rsidRPr="00897FB0">
        <w:rPr>
          <w:i/>
          <w:iCs/>
        </w:rPr>
        <w:t>)</w:t>
      </w:r>
      <w:r>
        <w:t xml:space="preserve"> Note 2 “</w:t>
      </w:r>
      <w:r w:rsidRPr="00D41033">
        <w:rPr>
          <w:i/>
        </w:rPr>
        <w:t>The propagation information contained in this Recommendation originates from a number of ITU-R P-series Recommendations previously referred to in Recommendation ITU</w:t>
      </w:r>
      <w:r w:rsidRPr="00D41033">
        <w:rPr>
          <w:i/>
        </w:rPr>
        <w:noBreakHyphen/>
        <w:t>R P.620. These source Recommendations have been developed for a variety of purposes. However, the future maintenance of the propagation information requires that particular attention is paid to the possible consequences for this Recommendation</w:t>
      </w:r>
      <w:r>
        <w:rPr>
          <w:i/>
        </w:rPr>
        <w:t>”</w:t>
      </w:r>
      <w:r>
        <w:t>.</w:t>
      </w:r>
    </w:p>
  </w:footnote>
  <w:footnote w:id="17">
    <w:p w14:paraId="3F755D3C" w14:textId="77777777" w:rsidR="00067C55" w:rsidRDefault="00067C55" w:rsidP="00B9168B">
      <w:pPr>
        <w:pStyle w:val="FootnoteText"/>
        <w:rPr>
          <w:rFonts w:eastAsia="Droid Sans"/>
          <w:color w:val="000000" w:themeColor="text1"/>
          <w:szCs w:val="24"/>
        </w:rPr>
      </w:pPr>
      <w:r w:rsidRPr="006223C1">
        <w:rPr>
          <w:rStyle w:val="FootnoteReference"/>
        </w:rPr>
        <w:footnoteRef/>
      </w:r>
      <w:r>
        <w:tab/>
        <w:t>TG1/6 Liaison statement to Working Party 3M.</w:t>
      </w:r>
      <w:r w:rsidRPr="00C060F7">
        <w:rPr>
          <w:color w:val="000000" w:themeColor="text1"/>
          <w:lang w:eastAsia="en-GB"/>
        </w:rPr>
        <w:t xml:space="preserve"> Document </w:t>
      </w:r>
      <w:r>
        <w:rPr>
          <w:color w:val="000000" w:themeColor="text1"/>
          <w:lang w:eastAsia="en-GB"/>
        </w:rPr>
        <w:t>3M/</w:t>
      </w:r>
      <w:r w:rsidRPr="00C060F7">
        <w:rPr>
          <w:color w:val="000000" w:themeColor="text1"/>
          <w:lang w:eastAsia="en-GB"/>
        </w:rPr>
        <w:t>64</w:t>
      </w:r>
      <w:r>
        <w:rPr>
          <w:color w:val="000000" w:themeColor="text1"/>
          <w:lang w:eastAsia="en-GB"/>
        </w:rPr>
        <w:t xml:space="preserve">(Rev.1), 3 November 1998. (Note: this text refers to a </w:t>
      </w:r>
      <w:r>
        <w:rPr>
          <w:rFonts w:eastAsia="Droid Sans"/>
          <w:color w:val="000000" w:themeColor="text1"/>
          <w:szCs w:val="24"/>
        </w:rPr>
        <w:t>d</w:t>
      </w:r>
      <w:r w:rsidRPr="006223C1">
        <w:rPr>
          <w:rFonts w:eastAsia="Droid Sans"/>
          <w:color w:val="000000" w:themeColor="text1"/>
          <w:szCs w:val="24"/>
        </w:rPr>
        <w:t>raft revision of Recommendation ITU</w:t>
      </w:r>
      <w:r w:rsidRPr="006223C1">
        <w:rPr>
          <w:rFonts w:eastAsia="Droid Sans"/>
          <w:color w:val="000000" w:themeColor="text1"/>
          <w:szCs w:val="24"/>
        </w:rPr>
        <w:noBreakHyphen/>
        <w:t>R P.620</w:t>
      </w:r>
      <w:r w:rsidRPr="006223C1">
        <w:rPr>
          <w:rFonts w:eastAsia="Droid Sans"/>
          <w:color w:val="000000" w:themeColor="text1"/>
          <w:szCs w:val="24"/>
        </w:rPr>
        <w:noBreakHyphen/>
      </w:r>
      <w:r>
        <w:rPr>
          <w:rFonts w:eastAsia="Droid Sans"/>
          <w:color w:val="000000" w:themeColor="text1"/>
          <w:szCs w:val="24"/>
        </w:rPr>
        <w:t xml:space="preserve">4 but </w:t>
      </w:r>
      <w:r w:rsidRPr="006223C1">
        <w:rPr>
          <w:rFonts w:eastAsia="Droid Sans"/>
          <w:color w:val="000000" w:themeColor="text1"/>
          <w:szCs w:val="24"/>
        </w:rPr>
        <w:t>Recommendation ITU</w:t>
      </w:r>
      <w:r w:rsidRPr="006223C1">
        <w:rPr>
          <w:rFonts w:eastAsia="Droid Sans"/>
          <w:color w:val="000000" w:themeColor="text1"/>
          <w:szCs w:val="24"/>
        </w:rPr>
        <w:noBreakHyphen/>
        <w:t>R P.620</w:t>
      </w:r>
      <w:r w:rsidRPr="006223C1">
        <w:rPr>
          <w:rFonts w:eastAsia="Droid Sans"/>
          <w:color w:val="000000" w:themeColor="text1"/>
          <w:szCs w:val="24"/>
        </w:rPr>
        <w:noBreakHyphen/>
      </w:r>
      <w:r>
        <w:rPr>
          <w:rFonts w:eastAsia="Droid Sans"/>
          <w:color w:val="000000" w:themeColor="text1"/>
          <w:szCs w:val="24"/>
        </w:rPr>
        <w:t>4 was not approved until after WP3M’s meeting in March 1999.)</w:t>
      </w:r>
    </w:p>
    <w:p w14:paraId="14869C85" w14:textId="77777777" w:rsidR="00067C55" w:rsidRPr="006223C1" w:rsidRDefault="00067C55" w:rsidP="00B9168B">
      <w:pPr>
        <w:pStyle w:val="FootnoteText"/>
      </w:pPr>
      <w:r>
        <w:t>Chairman, TG 1/6 Liaison statement to Working Party 3M.</w:t>
      </w:r>
      <w:r w:rsidRPr="00D358DF">
        <w:rPr>
          <w:lang w:eastAsia="en-GB"/>
        </w:rPr>
        <w:t xml:space="preserve"> </w:t>
      </w:r>
      <w:r>
        <w:rPr>
          <w:lang w:eastAsia="en-GB"/>
        </w:rPr>
        <w:t>Document 3M/</w:t>
      </w:r>
      <w:r w:rsidRPr="00D358DF">
        <w:rPr>
          <w:lang w:eastAsia="en-GB"/>
        </w:rPr>
        <w:t>107</w:t>
      </w:r>
      <w:r>
        <w:rPr>
          <w:lang w:eastAsia="en-GB"/>
        </w:rPr>
        <w:t xml:space="preserve">, </w:t>
      </w:r>
      <w:r w:rsidRPr="00D358DF">
        <w:rPr>
          <w:lang w:eastAsia="en-GB"/>
        </w:rPr>
        <w:t>24 February 1999</w:t>
      </w:r>
      <w:r>
        <w:rPr>
          <w:rFonts w:eastAsia="Droid Sans"/>
          <w:color w:val="000000" w:themeColor="text1"/>
          <w:szCs w:val="24"/>
        </w:rPr>
        <w:t xml:space="preserve">. </w:t>
      </w:r>
    </w:p>
  </w:footnote>
  <w:footnote w:id="18">
    <w:p w14:paraId="0B2F4601" w14:textId="77777777" w:rsidR="00067C55" w:rsidRDefault="00067C55" w:rsidP="00B9168B">
      <w:pPr>
        <w:pStyle w:val="FootnoteText"/>
      </w:pPr>
      <w:r>
        <w:rPr>
          <w:rStyle w:val="FootnoteReference"/>
        </w:rPr>
        <w:footnoteRef/>
      </w:r>
      <w:r>
        <w:tab/>
      </w:r>
      <w:r>
        <w:rPr>
          <w:rFonts w:eastAsia="Droid Sans"/>
          <w:color w:val="000000"/>
          <w:szCs w:val="24"/>
        </w:rPr>
        <w:t xml:space="preserve">Variation between </w:t>
      </w:r>
      <w:r w:rsidRPr="002155DF">
        <w:rPr>
          <w:szCs w:val="24"/>
        </w:rPr>
        <w:t>te</w:t>
      </w:r>
      <w:r w:rsidRPr="00D358DF">
        <w:rPr>
          <w:szCs w:val="24"/>
        </w:rPr>
        <w:t xml:space="preserve">rms in Recommendation </w:t>
      </w:r>
      <w:r w:rsidRPr="00D41033">
        <w:t>ITU-R P.620</w:t>
      </w:r>
      <w:r>
        <w:rPr>
          <w:szCs w:val="24"/>
        </w:rPr>
        <w:t>’s</w:t>
      </w:r>
      <w:r w:rsidRPr="00D358DF">
        <w:rPr>
          <w:szCs w:val="24"/>
        </w:rPr>
        <w:t xml:space="preserve"> component recommendations and with Recommendation ITU-R P.620</w:t>
      </w:r>
      <w:r>
        <w:rPr>
          <w:szCs w:val="24"/>
        </w:rPr>
        <w:t>.</w:t>
      </w:r>
    </w:p>
  </w:footnote>
  <w:footnote w:id="19">
    <w:p w14:paraId="2F9D43DF" w14:textId="77777777" w:rsidR="00067C55" w:rsidRDefault="00067C55" w:rsidP="00B9168B">
      <w:pPr>
        <w:pStyle w:val="FootnoteText"/>
      </w:pPr>
      <w:r w:rsidRPr="00243F58">
        <w:rPr>
          <w:rStyle w:val="FootnoteReference"/>
        </w:rPr>
        <w:footnoteRef/>
      </w:r>
      <w:r w:rsidRPr="00243F58">
        <w:tab/>
        <w:t>WP 3M Liaison statement to Chairman of TG 1/6 and draft proposal to Study Group 3. Document 1-6/61, 16 March 1999.</w:t>
      </w:r>
      <w:r w:rsidRPr="005B76D9">
        <w:t xml:space="preserve"> </w:t>
      </w:r>
    </w:p>
  </w:footnote>
  <w:footnote w:id="20">
    <w:p w14:paraId="3F417BA2" w14:textId="77777777" w:rsidR="00067C55" w:rsidRDefault="00067C55" w:rsidP="00B9168B">
      <w:pPr>
        <w:pStyle w:val="FootnoteText"/>
      </w:pPr>
      <w:r>
        <w:rPr>
          <w:rStyle w:val="FootnoteReference"/>
        </w:rPr>
        <w:footnoteRef/>
      </w:r>
      <w:r>
        <w:tab/>
        <w:t>TG 1/6 Liaison statement to SG 3 and WP 3M. Document 3M/131, 27 May 1999.</w:t>
      </w:r>
    </w:p>
  </w:footnote>
  <w:footnote w:id="21">
    <w:p w14:paraId="4E30C37A" w14:textId="77777777" w:rsidR="00067C55" w:rsidRDefault="00067C55" w:rsidP="00B9168B">
      <w:pPr>
        <w:pStyle w:val="FootnoteText"/>
      </w:pPr>
      <w:r>
        <w:rPr>
          <w:rStyle w:val="FootnoteReference"/>
        </w:rPr>
        <w:footnoteRef/>
      </w:r>
      <w:r>
        <w:t xml:space="preserve"> </w:t>
      </w:r>
      <w:r>
        <w:tab/>
        <w:t>Improvements to the method to calculate mode (2) auxiliary coordination contours described in PDNR ITU-R SM.XX. Document 1-6/105,</w:t>
      </w:r>
      <w:r w:rsidRPr="000F6489">
        <w:t xml:space="preserve"> 26 October 1999</w:t>
      </w:r>
      <w:r>
        <w:t xml:space="preserve">. </w:t>
      </w:r>
      <w:r w:rsidRPr="006D410C">
        <w:t>Note</w:t>
      </w:r>
      <w:r w:rsidRPr="008210CA">
        <w:t>: this is the only document available that contains relevant revision marks.</w:t>
      </w:r>
      <w:r>
        <w:t xml:space="preserve"> </w:t>
      </w:r>
    </w:p>
  </w:footnote>
  <w:footnote w:id="22">
    <w:p w14:paraId="3FC8000E" w14:textId="77777777" w:rsidR="00067C55" w:rsidRDefault="00067C55" w:rsidP="00D41033">
      <w:pPr>
        <w:pStyle w:val="FootnoteText"/>
        <w:rPr>
          <w:color w:val="000000" w:themeColor="text1"/>
        </w:rPr>
      </w:pPr>
      <w:r>
        <w:rPr>
          <w:rStyle w:val="FootnoteReference"/>
        </w:rPr>
        <w:footnoteRef/>
      </w:r>
      <w:r>
        <w:tab/>
      </w:r>
      <w:r>
        <w:rPr>
          <w:color w:val="000000" w:themeColor="text1"/>
        </w:rPr>
        <w:t>TG </w:t>
      </w:r>
      <w:r w:rsidRPr="00D358DF">
        <w:rPr>
          <w:color w:val="000000" w:themeColor="text1"/>
        </w:rPr>
        <w:t>1/6</w:t>
      </w:r>
      <w:r>
        <w:rPr>
          <w:color w:val="000000" w:themeColor="text1"/>
        </w:rPr>
        <w:t xml:space="preserve"> </w:t>
      </w:r>
      <w:r w:rsidRPr="00D358DF">
        <w:rPr>
          <w:color w:val="000000" w:themeColor="text1"/>
        </w:rPr>
        <w:t xml:space="preserve">Chairman’s </w:t>
      </w:r>
      <w:r w:rsidRPr="00D41033">
        <w:rPr>
          <w:color w:val="000000" w:themeColor="text1"/>
        </w:rPr>
        <w:t>Reports</w:t>
      </w:r>
      <w:r>
        <w:rPr>
          <w:color w:val="000000" w:themeColor="text1"/>
        </w:rPr>
        <w:t xml:space="preserve">: </w:t>
      </w:r>
      <w:r w:rsidRPr="00D358DF">
        <w:rPr>
          <w:color w:val="000000" w:themeColor="text1"/>
        </w:rPr>
        <w:t>Document</w:t>
      </w:r>
      <w:r>
        <w:rPr>
          <w:color w:val="000000" w:themeColor="text1"/>
        </w:rPr>
        <w:t>s</w:t>
      </w:r>
      <w:r w:rsidRPr="00D358DF">
        <w:rPr>
          <w:color w:val="000000" w:themeColor="text1"/>
        </w:rPr>
        <w:t xml:space="preserve"> </w:t>
      </w:r>
      <w:r>
        <w:rPr>
          <w:szCs w:val="24"/>
        </w:rPr>
        <w:t>TG 1-6/21, 3 April 1998; TG 1-6/</w:t>
      </w:r>
      <w:r>
        <w:rPr>
          <w:color w:val="000000" w:themeColor="text1"/>
        </w:rPr>
        <w:t xml:space="preserve">49, </w:t>
      </w:r>
      <w:r w:rsidRPr="00D358DF">
        <w:rPr>
          <w:color w:val="000000" w:themeColor="text1"/>
        </w:rPr>
        <w:t>27 October 1998</w:t>
      </w:r>
      <w:r>
        <w:rPr>
          <w:color w:val="000000" w:themeColor="text1"/>
        </w:rPr>
        <w:t xml:space="preserve">; and, </w:t>
      </w:r>
      <w:r>
        <w:rPr>
          <w:szCs w:val="24"/>
        </w:rPr>
        <w:t>TG 1-6/</w:t>
      </w:r>
      <w:r>
        <w:rPr>
          <w:color w:val="000000" w:themeColor="text1"/>
        </w:rPr>
        <w:t xml:space="preserve">93, </w:t>
      </w:r>
      <w:r w:rsidRPr="00D358DF">
        <w:rPr>
          <w:color w:val="000000" w:themeColor="text1"/>
        </w:rPr>
        <w:t>2</w:t>
      </w:r>
      <w:r>
        <w:rPr>
          <w:color w:val="000000" w:themeColor="text1"/>
        </w:rPr>
        <w:t>4</w:t>
      </w:r>
      <w:r w:rsidRPr="00D358DF">
        <w:rPr>
          <w:color w:val="000000" w:themeColor="text1"/>
        </w:rPr>
        <w:t xml:space="preserve"> </w:t>
      </w:r>
      <w:r>
        <w:rPr>
          <w:color w:val="000000" w:themeColor="text1"/>
        </w:rPr>
        <w:t>May</w:t>
      </w:r>
      <w:r w:rsidRPr="00D358DF">
        <w:rPr>
          <w:color w:val="000000" w:themeColor="text1"/>
        </w:rPr>
        <w:t xml:space="preserve"> 199</w:t>
      </w:r>
      <w:r>
        <w:rPr>
          <w:color w:val="000000" w:themeColor="text1"/>
        </w:rPr>
        <w:t>9.</w:t>
      </w:r>
    </w:p>
    <w:p w14:paraId="76B6DFAA" w14:textId="77777777" w:rsidR="00067C55" w:rsidRPr="00F9318A" w:rsidRDefault="00067C55" w:rsidP="00B9168B">
      <w:pPr>
        <w:pStyle w:val="FootnoteText"/>
      </w:pPr>
      <w:r w:rsidRPr="00F9318A">
        <w:t>TG 1/6 Drafting Group 1 Report. Document 1-6/99-1, 22 October 1999.</w:t>
      </w:r>
    </w:p>
  </w:footnote>
  <w:footnote w:id="23">
    <w:p w14:paraId="60AF8101" w14:textId="77777777" w:rsidR="00067C55" w:rsidRPr="002531C4" w:rsidRDefault="00067C55" w:rsidP="00B9168B">
      <w:pPr>
        <w:pStyle w:val="FootnoteText"/>
      </w:pPr>
      <w:r w:rsidRPr="00F9318A">
        <w:rPr>
          <w:rStyle w:val="FootnoteReference"/>
        </w:rPr>
        <w:footnoteRef/>
      </w:r>
      <w:r w:rsidRPr="00F9318A">
        <w:tab/>
        <w:t xml:space="preserve">Drafting Group 1 PDNR ITU-R SM.[   ] </w:t>
      </w:r>
      <w:bookmarkStart w:id="35" w:name="_Toc435774113"/>
      <w:bookmarkStart w:id="36" w:name="_Toc435774747"/>
      <w:bookmarkStart w:id="37" w:name="_Toc440086026"/>
      <w:bookmarkStart w:id="38" w:name="_Toc431176110"/>
      <w:r w:rsidRPr="00F9318A">
        <w:t>Determination of the coordination area around an earth station in frequency bands between 0.1 GHz and 105 GHz</w:t>
      </w:r>
      <w:bookmarkEnd w:id="35"/>
      <w:bookmarkEnd w:id="36"/>
      <w:bookmarkEnd w:id="37"/>
      <w:bookmarkEnd w:id="38"/>
      <w:r w:rsidRPr="00F9318A">
        <w:t>. Document 1/6-99-2, 22 October 1999.</w:t>
      </w:r>
    </w:p>
  </w:footnote>
  <w:footnote w:id="24">
    <w:p w14:paraId="47F4F421" w14:textId="77777777" w:rsidR="00067C55" w:rsidRPr="006223C1" w:rsidRDefault="00067C55" w:rsidP="00B9168B">
      <w:pPr>
        <w:pStyle w:val="FootnoteText"/>
      </w:pPr>
      <w:r w:rsidRPr="006223C1">
        <w:rPr>
          <w:rStyle w:val="FootnoteReference"/>
        </w:rPr>
        <w:footnoteRef/>
      </w:r>
      <w:r>
        <w:tab/>
      </w:r>
      <w:r w:rsidRPr="006A1093">
        <w:t>Chairman’s</w:t>
      </w:r>
      <w:r w:rsidRPr="006223C1">
        <w:rPr>
          <w:szCs w:val="24"/>
        </w:rPr>
        <w:t xml:space="preserve"> Report of 1</w:t>
      </w:r>
      <w:r w:rsidRPr="006223C1">
        <w:rPr>
          <w:szCs w:val="24"/>
          <w:vertAlign w:val="superscript"/>
        </w:rPr>
        <w:t>st</w:t>
      </w:r>
      <w:r w:rsidRPr="006223C1">
        <w:rPr>
          <w:szCs w:val="24"/>
        </w:rPr>
        <w:t xml:space="preserve"> Meeting</w:t>
      </w:r>
      <w:r>
        <w:rPr>
          <w:szCs w:val="24"/>
        </w:rPr>
        <w:t>.</w:t>
      </w:r>
      <w:r w:rsidRPr="006223C1">
        <w:rPr>
          <w:szCs w:val="24"/>
        </w:rPr>
        <w:t xml:space="preserve"> </w:t>
      </w:r>
      <w:r>
        <w:rPr>
          <w:szCs w:val="24"/>
        </w:rPr>
        <w:t>Document TG </w:t>
      </w:r>
      <w:r w:rsidRPr="006223C1">
        <w:rPr>
          <w:szCs w:val="24"/>
        </w:rPr>
        <w:t>1</w:t>
      </w:r>
      <w:r>
        <w:rPr>
          <w:szCs w:val="24"/>
        </w:rPr>
        <w:t>-</w:t>
      </w:r>
      <w:r w:rsidRPr="006223C1">
        <w:rPr>
          <w:szCs w:val="24"/>
        </w:rPr>
        <w:t>6</w:t>
      </w:r>
      <w:r>
        <w:rPr>
          <w:szCs w:val="24"/>
        </w:rPr>
        <w:t>/</w:t>
      </w:r>
      <w:r w:rsidRPr="006223C1">
        <w:rPr>
          <w:szCs w:val="24"/>
        </w:rPr>
        <w:t>4</w:t>
      </w:r>
      <w:r>
        <w:rPr>
          <w:szCs w:val="24"/>
        </w:rPr>
        <w:t xml:space="preserve">, 18 February </w:t>
      </w:r>
      <w:r w:rsidRPr="006223C1">
        <w:rPr>
          <w:szCs w:val="24"/>
        </w:rPr>
        <w:t>1998</w:t>
      </w:r>
      <w:r>
        <w:rPr>
          <w:szCs w:val="24"/>
        </w:rPr>
        <w:t>.</w:t>
      </w:r>
    </w:p>
  </w:footnote>
  <w:footnote w:id="25">
    <w:p w14:paraId="1B467DFE" w14:textId="77777777" w:rsidR="00067C55" w:rsidRPr="00254829" w:rsidRDefault="00067C55" w:rsidP="00B9168B">
      <w:pPr>
        <w:pStyle w:val="FootnoteText"/>
      </w:pPr>
      <w:r w:rsidRPr="006223C1">
        <w:rPr>
          <w:rStyle w:val="FootnoteReference"/>
        </w:rPr>
        <w:footnoteRef/>
      </w:r>
      <w:r>
        <w:tab/>
      </w:r>
      <w:r w:rsidRPr="00254829">
        <w:rPr>
          <w:lang w:val="en-US"/>
        </w:rPr>
        <w:t xml:space="preserve">Decision 1/45 </w:t>
      </w:r>
      <w:r>
        <w:rPr>
          <w:i/>
        </w:rPr>
        <w:t>decides</w:t>
      </w:r>
      <w:r>
        <w:rPr>
          <w:i/>
        </w:rPr>
        <w:br/>
      </w:r>
      <w:r>
        <w:rPr>
          <w:b/>
        </w:rPr>
        <w:t>1</w:t>
      </w:r>
      <w:r>
        <w:tab/>
        <w:t xml:space="preserve">to establish Task Group 1/6 to study, as an urgent matter, appropriate method(s) for the determination of the coordination area around Earth Stations as indicated in </w:t>
      </w:r>
      <w:r>
        <w:rPr>
          <w:i/>
        </w:rPr>
        <w:t>considering b).</w:t>
      </w:r>
      <w:r>
        <w:rPr>
          <w:i/>
        </w:rPr>
        <w:br/>
      </w:r>
      <w:r w:rsidRPr="006A1093">
        <w:t>Decision</w:t>
      </w:r>
      <w:r w:rsidRPr="00E50449">
        <w:rPr>
          <w:lang w:val="en-US"/>
        </w:rPr>
        <w:t xml:space="preserve"> 1/45</w:t>
      </w:r>
      <w:r>
        <w:rPr>
          <w:lang w:val="en-US"/>
        </w:rPr>
        <w:t xml:space="preserve"> </w:t>
      </w:r>
      <w:r w:rsidRPr="000A6A6A">
        <w:rPr>
          <w:i/>
          <w:lang w:val="en-US"/>
        </w:rPr>
        <w:t>considering</w:t>
      </w:r>
      <w:r w:rsidRPr="000A6A6A">
        <w:rPr>
          <w:lang w:val="en-US"/>
        </w:rPr>
        <w:t xml:space="preserve"> b</w:t>
      </w:r>
      <w:r>
        <w:rPr>
          <w:lang w:val="en-US"/>
        </w:rPr>
        <w:t>)</w:t>
      </w:r>
      <w:r w:rsidRPr="000A6A6A">
        <w:rPr>
          <w:lang w:val="en-US"/>
        </w:rPr>
        <w:t xml:space="preserve"> </w:t>
      </w:r>
      <w:r w:rsidRPr="00254829">
        <w:t xml:space="preserve">that there is a need to develop </w:t>
      </w:r>
      <w:r w:rsidRPr="00254829">
        <w:rPr>
          <w:spacing w:val="-2"/>
        </w:rPr>
        <w:t>technical procedure and propagation models for use in t</w:t>
      </w:r>
      <w:r w:rsidRPr="00254829">
        <w:t>he determination of  coordination areas around earth stations operating in frequency bands between 100 MHz and 105 GHz for coordination between:</w:t>
      </w:r>
      <w:r>
        <w:br/>
        <w:t>–</w:t>
      </w:r>
      <w:r>
        <w:tab/>
      </w:r>
      <w:r w:rsidRPr="00254829">
        <w:t>the earth station of a GSO satellite network and a terrestrial station, the original consideration;</w:t>
      </w:r>
      <w:r>
        <w:br/>
        <w:t>–</w:t>
      </w:r>
      <w:r>
        <w:tab/>
      </w:r>
      <w:r w:rsidRPr="00254829">
        <w:t>the earth station of a GSO satellite network in a slightly inclined orbit and a terrestrial station;</w:t>
      </w:r>
      <w:r>
        <w:br/>
        <w:t>–</w:t>
      </w:r>
      <w:r>
        <w:tab/>
      </w:r>
      <w:r w:rsidRPr="00254829">
        <w:t>the earth station of an NGSO satellite network and a terrestrial station;</w:t>
      </w:r>
      <w:r>
        <w:br/>
        <w:t>–</w:t>
      </w:r>
      <w:r>
        <w:tab/>
      </w:r>
      <w:r w:rsidRPr="00254829">
        <w:t xml:space="preserve">two earth stations of GSO  satellite networks, when the two networks operate in opposite </w:t>
      </w:r>
      <w:r>
        <w:tab/>
      </w:r>
      <w:r w:rsidRPr="00254829">
        <w:t>directions of transmission;</w:t>
      </w:r>
      <w:r>
        <w:br/>
        <w:t>–</w:t>
      </w:r>
      <w:r>
        <w:tab/>
      </w:r>
      <w:r w:rsidRPr="00254829">
        <w:t xml:space="preserve">two earth stations, one of which is part of a GSO satellite network and the other is part of an </w:t>
      </w:r>
      <w:r>
        <w:tab/>
      </w:r>
      <w:r w:rsidRPr="00254829">
        <w:t xml:space="preserve">NGSO satellite network, when the two networks operate in opposite directions of transmission; </w:t>
      </w:r>
      <w:r>
        <w:tab/>
      </w:r>
      <w:r w:rsidRPr="00254829">
        <w:t xml:space="preserve">and </w:t>
      </w:r>
      <w:r>
        <w:br/>
        <w:t>–</w:t>
      </w:r>
      <w:r>
        <w:tab/>
      </w:r>
      <w:r w:rsidRPr="00254829">
        <w:t xml:space="preserve">two earth stations of NGSO networks, when the two networks operate in opposite directions of </w:t>
      </w:r>
      <w:r>
        <w:tab/>
      </w:r>
      <w:r w:rsidRPr="00254829">
        <w:t>transmission.</w:t>
      </w:r>
    </w:p>
  </w:footnote>
  <w:footnote w:id="26">
    <w:p w14:paraId="7A5C313E" w14:textId="77777777" w:rsidR="00067C55" w:rsidRDefault="00067C55" w:rsidP="00B9168B">
      <w:pPr>
        <w:pStyle w:val="FootnoteText"/>
      </w:pPr>
      <w:r>
        <w:rPr>
          <w:rStyle w:val="FootnoteReference"/>
        </w:rPr>
        <w:footnoteRef/>
      </w:r>
      <w:r>
        <w:tab/>
        <w:t>TG 1/6 Liaison statement to WP 3M. Document 3M-65, 23 July 1997.</w:t>
      </w:r>
    </w:p>
  </w:footnote>
  <w:footnote w:id="27">
    <w:p w14:paraId="3DDA0BAA" w14:textId="77777777" w:rsidR="00067C55" w:rsidRDefault="00067C55" w:rsidP="00B9168B">
      <w:pPr>
        <w:pStyle w:val="FootnoteText"/>
      </w:pPr>
      <w:r w:rsidRPr="00BB6FEC">
        <w:rPr>
          <w:rStyle w:val="FootnoteReference"/>
        </w:rPr>
        <w:footnoteRef/>
      </w:r>
      <w:r>
        <w:tab/>
      </w:r>
      <w:r w:rsidRPr="002625BF">
        <w:t>Liaison statement from the Chairman, Working Party 3M to the Chairman, Task Group 1/6</w:t>
      </w:r>
      <w:r>
        <w:t xml:space="preserve"> Document TG</w:t>
      </w:r>
      <w:r w:rsidRPr="009765B8">
        <w:rPr>
          <w:szCs w:val="24"/>
        </w:rPr>
        <w:t>1/6-15</w:t>
      </w:r>
      <w:r>
        <w:rPr>
          <w:szCs w:val="24"/>
        </w:rPr>
        <w:t>, 11 March 1998, which references “</w:t>
      </w:r>
      <w:r w:rsidRPr="006D410C">
        <w:rPr>
          <w:i/>
        </w:rPr>
        <w:t>CEPT contribution - Factors impacting on propagation Mode(1) co-ordination distance requirements. Document TG</w:t>
      </w:r>
      <w:r w:rsidRPr="006D410C">
        <w:rPr>
          <w:i/>
          <w:szCs w:val="24"/>
        </w:rPr>
        <w:t>1/6-14, 11 March 1998</w:t>
      </w:r>
      <w:r>
        <w:rPr>
          <w:szCs w:val="24"/>
        </w:rPr>
        <w:t>”.</w:t>
      </w:r>
    </w:p>
  </w:footnote>
  <w:footnote w:id="28">
    <w:p w14:paraId="70FE4136" w14:textId="77777777" w:rsidR="00067C55" w:rsidRDefault="00067C55" w:rsidP="00B9168B">
      <w:pPr>
        <w:pStyle w:val="FootnoteText"/>
      </w:pPr>
      <w:r>
        <w:rPr>
          <w:rStyle w:val="FootnoteReference"/>
        </w:rPr>
        <w:footnoteRef/>
      </w:r>
      <w:r>
        <w:tab/>
        <w:t xml:space="preserve">Section 1.3 Appendix </w:t>
      </w:r>
      <w:r w:rsidRPr="009765B8">
        <w:rPr>
          <w:b/>
        </w:rPr>
        <w:t>7</w:t>
      </w:r>
      <w:r>
        <w:t xml:space="preserve"> </w:t>
      </w:r>
      <w:r w:rsidRPr="00B46857">
        <w:t>(Rev.WRC-15)</w:t>
      </w:r>
      <w:r>
        <w:t xml:space="preserve"> and Section 1.3 Recommendation ITU-R SM.1448.</w:t>
      </w:r>
    </w:p>
  </w:footnote>
  <w:footnote w:id="29">
    <w:p w14:paraId="6518A741" w14:textId="77777777" w:rsidR="00067C55" w:rsidRDefault="00067C55" w:rsidP="00B9168B">
      <w:pPr>
        <w:pStyle w:val="FootnoteText"/>
      </w:pPr>
      <w:r>
        <w:rPr>
          <w:rStyle w:val="FootnoteReference"/>
        </w:rPr>
        <w:footnoteRef/>
      </w:r>
      <w:r>
        <w:tab/>
      </w:r>
      <w:r w:rsidRPr="00534847">
        <w:t>Recommendation ITU-R P.620-6 in section 4.3 currently states that it references three other propagation recommendations and “</w:t>
      </w:r>
      <w:r w:rsidRPr="00534847">
        <w:rPr>
          <w:i/>
        </w:rPr>
        <w:t>no reference is needed to the other Recommendations</w:t>
      </w:r>
      <w:r w:rsidRPr="00534847">
        <w:t xml:space="preserve">”. However, in addition to Recommendations </w:t>
      </w:r>
      <w:r w:rsidRPr="00D41033">
        <w:t>ITU-R P.836</w:t>
      </w:r>
      <w:r w:rsidRPr="00534847">
        <w:t xml:space="preserve"> for water vapour density, </w:t>
      </w:r>
      <w:r w:rsidRPr="00D41033">
        <w:t>ITU-R P.837</w:t>
      </w:r>
      <w:r w:rsidRPr="00534847">
        <w:t xml:space="preserve"> for rain rate and </w:t>
      </w:r>
      <w:r w:rsidRPr="00D41033">
        <w:t>ITU-R P.839</w:t>
      </w:r>
      <w:r w:rsidRPr="00534847">
        <w:t xml:space="preserve"> for rain height, Recommendation ITU-R P.620-6 also references Recommendation </w:t>
      </w:r>
      <w:r w:rsidRPr="00D41033">
        <w:t>ITU-R P.838</w:t>
      </w:r>
      <w:r w:rsidRPr="00534847">
        <w:t xml:space="preserve"> for the specific attenuation due to rain. In addition, Recommendation </w:t>
      </w:r>
      <w:r w:rsidRPr="00D41033">
        <w:t>ITU-R P.836</w:t>
      </w:r>
      <w:r w:rsidRPr="00534847">
        <w:t xml:space="preserve"> references two further propagation recommendations and Recommendation </w:t>
      </w:r>
      <w:r w:rsidRPr="00D41033">
        <w:t>ITU-R P.837</w:t>
      </w:r>
      <w:r w:rsidRPr="00534847">
        <w:t xml:space="preserve"> references one propagation recommendation.</w:t>
      </w:r>
    </w:p>
  </w:footnote>
  <w:footnote w:id="30">
    <w:p w14:paraId="7DD56584" w14:textId="77777777" w:rsidR="00067C55" w:rsidRDefault="00067C55" w:rsidP="00B9168B">
      <w:pPr>
        <w:pStyle w:val="FootnoteText"/>
      </w:pPr>
      <w:r w:rsidRPr="006223C1">
        <w:rPr>
          <w:rStyle w:val="FootnoteReference"/>
        </w:rPr>
        <w:footnoteRef/>
      </w:r>
      <w:r>
        <w:tab/>
      </w:r>
      <w:r w:rsidRPr="009765B8">
        <w:t xml:space="preserve">Task Group 1/6 Rapporteur Group </w:t>
      </w:r>
      <w:r>
        <w:t xml:space="preserve">Section </w:t>
      </w:r>
      <w:r w:rsidRPr="009765B8">
        <w:rPr>
          <w:lang w:eastAsia="en-GB"/>
        </w:rPr>
        <w:t>3.2.3</w:t>
      </w:r>
      <w:r>
        <w:rPr>
          <w:lang w:eastAsia="en-GB"/>
        </w:rPr>
        <w:t xml:space="preserve"> </w:t>
      </w:r>
      <w:r w:rsidRPr="009765B8">
        <w:rPr>
          <w:lang w:eastAsia="en-GB"/>
        </w:rPr>
        <w:t>Origin of texts and definition of terms</w:t>
      </w:r>
      <w:r>
        <w:rPr>
          <w:lang w:eastAsia="en-GB"/>
        </w:rPr>
        <w:t>.</w:t>
      </w:r>
      <w:r w:rsidRPr="009765B8">
        <w:t xml:space="preserve"> Document </w:t>
      </w:r>
      <w:r>
        <w:t>1/6-</w:t>
      </w:r>
      <w:r w:rsidRPr="009765B8">
        <w:t>41</w:t>
      </w:r>
      <w:r>
        <w:t xml:space="preserve">, </w:t>
      </w:r>
      <w:r w:rsidRPr="002C128E">
        <w:t>13 October 1998</w:t>
      </w:r>
      <w:r>
        <w:t>.</w:t>
      </w:r>
      <w:r w:rsidRPr="009765B8">
        <w:t xml:space="preserve"> </w:t>
      </w:r>
    </w:p>
  </w:footnote>
  <w:footnote w:id="31">
    <w:p w14:paraId="7EA47149" w14:textId="77777777" w:rsidR="00067C55" w:rsidRPr="009765B8" w:rsidRDefault="00067C55" w:rsidP="00B9168B">
      <w:pPr>
        <w:pStyle w:val="FootnoteText"/>
      </w:pPr>
      <w:r w:rsidRPr="006223C1">
        <w:rPr>
          <w:rStyle w:val="FootnoteReference"/>
        </w:rPr>
        <w:footnoteRef/>
      </w:r>
      <w:r>
        <w:tab/>
        <w:t xml:space="preserve">TG 1/6 </w:t>
      </w:r>
      <w:r w:rsidRPr="00764500">
        <w:t>Liaison statement to W</w:t>
      </w:r>
      <w:r>
        <w:t>P </w:t>
      </w:r>
      <w:r w:rsidRPr="00764500">
        <w:t>3M</w:t>
      </w:r>
      <w:r>
        <w:t>.</w:t>
      </w:r>
      <w:r w:rsidRPr="00764500">
        <w:t xml:space="preserve"> </w:t>
      </w:r>
      <w:r w:rsidRPr="009765B8">
        <w:rPr>
          <w:lang w:eastAsia="en-GB"/>
        </w:rPr>
        <w:t>Doc</w:t>
      </w:r>
      <w:r>
        <w:rPr>
          <w:lang w:eastAsia="en-GB"/>
        </w:rPr>
        <w:t>ument</w:t>
      </w:r>
      <w:r w:rsidRPr="009765B8">
        <w:rPr>
          <w:lang w:eastAsia="en-GB"/>
        </w:rPr>
        <w:t xml:space="preserve"> </w:t>
      </w:r>
      <w:r>
        <w:rPr>
          <w:lang w:eastAsia="en-GB"/>
        </w:rPr>
        <w:t>3M-</w:t>
      </w:r>
      <w:r w:rsidRPr="009765B8">
        <w:rPr>
          <w:lang w:eastAsia="en-GB"/>
        </w:rPr>
        <w:t>65</w:t>
      </w:r>
      <w:r>
        <w:rPr>
          <w:lang w:eastAsia="en-GB"/>
        </w:rPr>
        <w:t xml:space="preserve">, </w:t>
      </w:r>
      <w:r w:rsidRPr="009765B8">
        <w:rPr>
          <w:lang w:eastAsia="en-GB"/>
        </w:rPr>
        <w:tab/>
        <w:t>23 July 1997</w:t>
      </w:r>
      <w:r>
        <w:rPr>
          <w:lang w:eastAsia="en-GB"/>
        </w:rPr>
        <w:t>.</w:t>
      </w:r>
    </w:p>
  </w:footnote>
  <w:footnote w:id="32">
    <w:p w14:paraId="059AF2F0" w14:textId="77777777" w:rsidR="00067C55" w:rsidRPr="006223C1" w:rsidRDefault="00067C55" w:rsidP="00B9168B">
      <w:pPr>
        <w:pStyle w:val="FootnoteText"/>
        <w:tabs>
          <w:tab w:val="clear" w:pos="2268"/>
          <w:tab w:val="left" w:pos="2977"/>
        </w:tabs>
      </w:pPr>
      <w:r w:rsidRPr="006223C1">
        <w:rPr>
          <w:rStyle w:val="FootnoteReference"/>
        </w:rPr>
        <w:footnoteRef/>
      </w:r>
      <w:r>
        <w:tab/>
        <w:t xml:space="preserve">WP 3M </w:t>
      </w:r>
      <w:r w:rsidRPr="00227874">
        <w:rPr>
          <w:szCs w:val="24"/>
        </w:rPr>
        <w:t xml:space="preserve">Liaison statement </w:t>
      </w:r>
      <w:r>
        <w:rPr>
          <w:szCs w:val="24"/>
        </w:rPr>
        <w:t>to TG1/6.</w:t>
      </w:r>
      <w:r w:rsidRPr="00227874">
        <w:rPr>
          <w:szCs w:val="24"/>
        </w:rPr>
        <w:t xml:space="preserve"> </w:t>
      </w:r>
      <w:r>
        <w:rPr>
          <w:szCs w:val="24"/>
        </w:rPr>
        <w:t>Document TG</w:t>
      </w:r>
      <w:r w:rsidRPr="00227874">
        <w:rPr>
          <w:szCs w:val="24"/>
        </w:rPr>
        <w:t>1/6-23</w:t>
      </w:r>
      <w:r>
        <w:rPr>
          <w:szCs w:val="24"/>
        </w:rPr>
        <w:t>, 21 May 1998.</w:t>
      </w:r>
    </w:p>
  </w:footnote>
  <w:footnote w:id="33">
    <w:p w14:paraId="24668694" w14:textId="77777777" w:rsidR="00067C55" w:rsidRPr="00B66263" w:rsidRDefault="00067C55" w:rsidP="00B9168B">
      <w:pPr>
        <w:pStyle w:val="FootnoteText"/>
      </w:pPr>
      <w:r w:rsidRPr="006223C1">
        <w:rPr>
          <w:rStyle w:val="FootnoteReference"/>
        </w:rPr>
        <w:footnoteRef/>
      </w:r>
      <w:r>
        <w:tab/>
      </w:r>
      <w:r w:rsidRPr="009765B8">
        <w:t>TG</w:t>
      </w:r>
      <w:r>
        <w:t> </w:t>
      </w:r>
      <w:r w:rsidRPr="009765B8">
        <w:t>1/6 Rapporteur Group Introduction to working document for the development of a PDNR</w:t>
      </w:r>
      <w:r>
        <w:t xml:space="preserve"> […] </w:t>
      </w:r>
      <w:r w:rsidRPr="00B66263">
        <w:t>and issues relating to its development</w:t>
      </w:r>
      <w:r>
        <w:t xml:space="preserve">. </w:t>
      </w:r>
      <w:r w:rsidRPr="00B66263">
        <w:t xml:space="preserve">Document </w:t>
      </w:r>
      <w:r>
        <w:t>1-6/</w:t>
      </w:r>
      <w:r w:rsidRPr="00B66263">
        <w:t>41</w:t>
      </w:r>
      <w:r>
        <w:t>, 13 October 1998.</w:t>
      </w:r>
    </w:p>
  </w:footnote>
  <w:footnote w:id="34">
    <w:p w14:paraId="0C45A7BF" w14:textId="77777777" w:rsidR="00067C55" w:rsidRPr="00B66263" w:rsidRDefault="00067C55" w:rsidP="00B9168B">
      <w:pPr>
        <w:pStyle w:val="FootnoteText"/>
      </w:pPr>
      <w:r w:rsidRPr="006223C1">
        <w:rPr>
          <w:rStyle w:val="FootnoteReference"/>
        </w:rPr>
        <w:footnoteRef/>
      </w:r>
      <w:r>
        <w:tab/>
        <w:t xml:space="preserve">WP 1A Liaison statement to WP 3M. </w:t>
      </w:r>
      <w:r>
        <w:rPr>
          <w:lang w:eastAsia="en-GB"/>
        </w:rPr>
        <w:t xml:space="preserve">Document 3M/32, </w:t>
      </w:r>
      <w:r w:rsidRPr="00B66263">
        <w:rPr>
          <w:lang w:eastAsia="en-GB"/>
        </w:rPr>
        <w:t>4 November 1996</w:t>
      </w:r>
      <w:r>
        <w:rPr>
          <w:lang w:eastAsia="en-GB"/>
        </w:rPr>
        <w:t>.</w:t>
      </w:r>
    </w:p>
  </w:footnote>
  <w:footnote w:id="35">
    <w:p w14:paraId="674104E7" w14:textId="77777777" w:rsidR="00067C55" w:rsidRPr="00D25868" w:rsidRDefault="00067C55" w:rsidP="00B9168B">
      <w:pPr>
        <w:pStyle w:val="FootnoteText"/>
      </w:pPr>
      <w:r w:rsidRPr="00D25868">
        <w:rPr>
          <w:rStyle w:val="FootnoteReference"/>
        </w:rPr>
        <w:footnoteRef/>
      </w:r>
      <w:r>
        <w:tab/>
      </w:r>
      <w:r w:rsidRPr="00D25868">
        <w:t>WP</w:t>
      </w:r>
      <w:r>
        <w:t> </w:t>
      </w:r>
      <w:r w:rsidRPr="00D25868">
        <w:t>3M Liaison statement to WP</w:t>
      </w:r>
      <w:r>
        <w:t> </w:t>
      </w:r>
      <w:r w:rsidRPr="00D25868">
        <w:t>1A. Docume</w:t>
      </w:r>
      <w:r w:rsidRPr="00D25868">
        <w:rPr>
          <w:szCs w:val="24"/>
        </w:rPr>
        <w:t>nt</w:t>
      </w:r>
      <w:r w:rsidRPr="00D25868">
        <w:rPr>
          <w:szCs w:val="24"/>
          <w:lang w:eastAsia="zh-CN"/>
        </w:rPr>
        <w:t xml:space="preserve"> 1A</w:t>
      </w:r>
      <w:r>
        <w:rPr>
          <w:szCs w:val="24"/>
          <w:lang w:eastAsia="zh-CN"/>
        </w:rPr>
        <w:t>/</w:t>
      </w:r>
      <w:r w:rsidRPr="00D25868">
        <w:rPr>
          <w:szCs w:val="24"/>
          <w:lang w:eastAsia="zh-CN"/>
        </w:rPr>
        <w:t xml:space="preserve">156, 3 April 2017. </w:t>
      </w:r>
    </w:p>
  </w:footnote>
  <w:footnote w:id="36">
    <w:p w14:paraId="44660CCD" w14:textId="77777777" w:rsidR="00067C55" w:rsidRDefault="00067C55" w:rsidP="00B9168B">
      <w:pPr>
        <w:pStyle w:val="FootnoteText"/>
      </w:pPr>
      <w:r>
        <w:rPr>
          <w:rStyle w:val="FootnoteReference"/>
        </w:rPr>
        <w:footnoteRef/>
      </w:r>
      <w:r>
        <w:tab/>
      </w:r>
      <w:r>
        <w:rPr>
          <w:color w:val="000000" w:themeColor="text1"/>
        </w:rPr>
        <w:t>TG </w:t>
      </w:r>
      <w:r w:rsidRPr="009765B8">
        <w:rPr>
          <w:color w:val="000000" w:themeColor="text1"/>
        </w:rPr>
        <w:t>1/6</w:t>
      </w:r>
      <w:r>
        <w:rPr>
          <w:color w:val="000000" w:themeColor="text1"/>
        </w:rPr>
        <w:t xml:space="preserve"> Chairman’s Report of the 3</w:t>
      </w:r>
      <w:r w:rsidRPr="00663366">
        <w:rPr>
          <w:color w:val="000000" w:themeColor="text1"/>
          <w:vertAlign w:val="superscript"/>
        </w:rPr>
        <w:t>rd</w:t>
      </w:r>
      <w:r>
        <w:rPr>
          <w:color w:val="000000" w:themeColor="text1"/>
        </w:rPr>
        <w:t xml:space="preserve"> meeting. </w:t>
      </w:r>
      <w:r w:rsidRPr="009765B8">
        <w:rPr>
          <w:color w:val="000000" w:themeColor="text1"/>
        </w:rPr>
        <w:t xml:space="preserve">Document </w:t>
      </w:r>
      <w:r>
        <w:rPr>
          <w:color w:val="000000" w:themeColor="text1"/>
        </w:rPr>
        <w:t>TG 1-6/</w:t>
      </w:r>
      <w:r w:rsidRPr="009765B8">
        <w:rPr>
          <w:color w:val="000000" w:themeColor="text1"/>
        </w:rPr>
        <w:t>49</w:t>
      </w:r>
      <w:r>
        <w:rPr>
          <w:color w:val="000000" w:themeColor="text1"/>
        </w:rPr>
        <w:t xml:space="preserve">, </w:t>
      </w:r>
      <w:r w:rsidRPr="009765B8">
        <w:rPr>
          <w:color w:val="000000" w:themeColor="text1"/>
        </w:rPr>
        <w:t>27 October 1998</w:t>
      </w:r>
      <w:r>
        <w:rPr>
          <w:color w:val="000000" w:themeColor="text1"/>
        </w:rPr>
        <w:t>.</w:t>
      </w:r>
    </w:p>
  </w:footnote>
  <w:footnote w:id="37">
    <w:p w14:paraId="1A05EA1E" w14:textId="77777777" w:rsidR="00067C55" w:rsidRDefault="00067C55" w:rsidP="00B9168B">
      <w:pPr>
        <w:pStyle w:val="FootnoteText"/>
      </w:pPr>
      <w:r>
        <w:rPr>
          <w:rStyle w:val="FootnoteReference"/>
        </w:rPr>
        <w:footnoteRef/>
      </w:r>
      <w:r>
        <w:tab/>
        <w:t xml:space="preserve">The version of text adopted for Appendix </w:t>
      </w:r>
      <w:r w:rsidRPr="002C28EC">
        <w:rPr>
          <w:b/>
        </w:rPr>
        <w:t>7</w:t>
      </w:r>
      <w:r>
        <w:t xml:space="preserve"> also contained some editorial and layout changes to better suit the structure of an Appendix to the Radio Regulations (see § 2.2).</w:t>
      </w:r>
    </w:p>
  </w:footnote>
  <w:footnote w:id="38">
    <w:p w14:paraId="6FF34BF9" w14:textId="77777777" w:rsidR="00067C55" w:rsidRDefault="00067C55" w:rsidP="00B9168B">
      <w:pPr>
        <w:pStyle w:val="FootnoteText"/>
      </w:pPr>
      <w:r>
        <w:rPr>
          <w:rStyle w:val="FootnoteReference"/>
        </w:rPr>
        <w:footnoteRef/>
      </w:r>
      <w:r>
        <w:tab/>
        <w:t xml:space="preserve">The reason for the suppression of the previous procedure (Resolution 60 (WARC-1979)) was that it allowed Appendix </w:t>
      </w:r>
      <w:r w:rsidRPr="000A6A6A">
        <w:rPr>
          <w:b/>
        </w:rPr>
        <w:t>28</w:t>
      </w:r>
      <w:r>
        <w:t xml:space="preserve"> (</w:t>
      </w:r>
      <w:r w:rsidRPr="000A6A6A">
        <w:rPr>
          <w:b/>
        </w:rPr>
        <w:t>S7</w:t>
      </w:r>
      <w:r>
        <w:t>) to be updated based simply on changes to propagation models/data and that with the new integrated text in Appendix 7, any revision of the propagation models/data would require substantive testing.</w:t>
      </w:r>
    </w:p>
  </w:footnote>
  <w:footnote w:id="39">
    <w:p w14:paraId="63B68FCF" w14:textId="77777777" w:rsidR="00067C55" w:rsidRPr="00663366" w:rsidRDefault="00067C55" w:rsidP="00B9168B">
      <w:pPr>
        <w:pStyle w:val="FootnoteText"/>
      </w:pPr>
      <w:r>
        <w:rPr>
          <w:rStyle w:val="FootnoteReference"/>
        </w:rPr>
        <w:footnoteRef/>
      </w:r>
      <w:r>
        <w:tab/>
        <w:t>Chairman, Working Party 3M</w:t>
      </w:r>
      <w:r w:rsidRPr="00663366">
        <w:t xml:space="preserve"> </w:t>
      </w:r>
      <w:r>
        <w:t>(</w:t>
      </w:r>
      <w:r w:rsidRPr="00663366">
        <w:t>WP</w:t>
      </w:r>
      <w:r>
        <w:t> </w:t>
      </w:r>
      <w:r w:rsidRPr="00663366">
        <w:t>1A Liaison statement to WP</w:t>
      </w:r>
      <w:r>
        <w:t> </w:t>
      </w:r>
      <w:r w:rsidRPr="00663366">
        <w:t>3M</w:t>
      </w:r>
      <w:r>
        <w:t>).</w:t>
      </w:r>
      <w:r w:rsidRPr="00663366">
        <w:t xml:space="preserve"> </w:t>
      </w:r>
      <w:r w:rsidRPr="00663366">
        <w:rPr>
          <w:lang w:eastAsia="en-GB"/>
        </w:rPr>
        <w:t>Attachment 1</w:t>
      </w:r>
      <w:r>
        <w:rPr>
          <w:lang w:eastAsia="en-GB"/>
        </w:rPr>
        <w:t xml:space="preserve"> </w:t>
      </w:r>
      <w:r w:rsidRPr="00663366">
        <w:rPr>
          <w:lang w:eastAsia="en-GB"/>
        </w:rPr>
        <w:t xml:space="preserve">to </w:t>
      </w:r>
      <w:r>
        <w:rPr>
          <w:lang w:eastAsia="en-GB"/>
        </w:rPr>
        <w:t>Document </w:t>
      </w:r>
      <w:hyperlink r:id="rId1" w:history="1">
        <w:r w:rsidRPr="00BA507B">
          <w:rPr>
            <w:rStyle w:val="Hyperlink"/>
            <w:color w:val="auto"/>
            <w:u w:val="none"/>
            <w:lang w:eastAsia="en-GB"/>
          </w:rPr>
          <w:t>3M/32</w:t>
        </w:r>
      </w:hyperlink>
      <w:r>
        <w:rPr>
          <w:lang w:eastAsia="en-GB"/>
        </w:rPr>
        <w:t xml:space="preserve">, </w:t>
      </w:r>
      <w:r w:rsidRPr="00663366">
        <w:rPr>
          <w:lang w:eastAsia="en-GB"/>
        </w:rPr>
        <w:t>4 November 1996</w:t>
      </w:r>
      <w:r>
        <w:rPr>
          <w:lang w:eastAsia="en-GB"/>
        </w:rPr>
        <w:t>.</w:t>
      </w:r>
    </w:p>
  </w:footnote>
  <w:footnote w:id="40">
    <w:p w14:paraId="6DB7D7E1" w14:textId="77777777" w:rsidR="00067C55" w:rsidRPr="00663366" w:rsidRDefault="00067C55" w:rsidP="00B9168B">
      <w:pPr>
        <w:pStyle w:val="FootnoteText"/>
      </w:pPr>
      <w:r w:rsidRPr="006223C1">
        <w:rPr>
          <w:rStyle w:val="FootnoteReference"/>
        </w:rPr>
        <w:footnoteRef/>
      </w:r>
      <w:r>
        <w:tab/>
        <w:t>Chairman, Working Party 3M</w:t>
      </w:r>
      <w:r w:rsidRPr="00663366">
        <w:t xml:space="preserve"> </w:t>
      </w:r>
      <w:r>
        <w:t>(</w:t>
      </w:r>
      <w:r w:rsidRPr="00663366">
        <w:t>WP1A Liaison statement to WP</w:t>
      </w:r>
      <w:r>
        <w:t> </w:t>
      </w:r>
      <w:r w:rsidRPr="00663366">
        <w:t>3M</w:t>
      </w:r>
      <w:r>
        <w:t>).</w:t>
      </w:r>
      <w:r w:rsidRPr="00663366">
        <w:t xml:space="preserve"> </w:t>
      </w:r>
      <w:r w:rsidRPr="00663366">
        <w:rPr>
          <w:lang w:eastAsia="en-GB"/>
        </w:rPr>
        <w:t>Attachment 1</w:t>
      </w:r>
      <w:r>
        <w:rPr>
          <w:lang w:eastAsia="en-GB"/>
        </w:rPr>
        <w:t xml:space="preserve"> </w:t>
      </w:r>
      <w:r w:rsidRPr="00663366">
        <w:rPr>
          <w:lang w:eastAsia="en-GB"/>
        </w:rPr>
        <w:t xml:space="preserve">to </w:t>
      </w:r>
      <w:r>
        <w:rPr>
          <w:lang w:eastAsia="en-GB"/>
        </w:rPr>
        <w:t xml:space="preserve">Document 3M/32, </w:t>
      </w:r>
      <w:r w:rsidRPr="00663366">
        <w:rPr>
          <w:lang w:eastAsia="en-GB"/>
        </w:rPr>
        <w:t>4 November 1996</w:t>
      </w:r>
      <w:r>
        <w:rPr>
          <w:lang w:eastAsia="en-GB"/>
        </w:rPr>
        <w:t>.</w:t>
      </w:r>
    </w:p>
  </w:footnote>
  <w:footnote w:id="41">
    <w:p w14:paraId="40E1D138" w14:textId="77777777" w:rsidR="00067C55" w:rsidRPr="00663366" w:rsidRDefault="00067C55" w:rsidP="00B9168B">
      <w:pPr>
        <w:pStyle w:val="FootnoteText"/>
      </w:pPr>
      <w:r w:rsidRPr="006223C1">
        <w:rPr>
          <w:rStyle w:val="FootnoteReference"/>
        </w:rPr>
        <w:footnoteRef/>
      </w:r>
      <w:r>
        <w:tab/>
        <w:t>Chairman, Working Party 3M</w:t>
      </w:r>
      <w:r w:rsidRPr="00663366">
        <w:t xml:space="preserve"> </w:t>
      </w:r>
      <w:r>
        <w:t>(Note to the Director, BR From the Chairman, SG 1).</w:t>
      </w:r>
      <w:r w:rsidRPr="00663366">
        <w:t xml:space="preserve"> </w:t>
      </w:r>
      <w:r>
        <w:rPr>
          <w:lang w:eastAsia="en-GB"/>
        </w:rPr>
        <w:t xml:space="preserve">Attachment 2 </w:t>
      </w:r>
      <w:r w:rsidRPr="00663366">
        <w:rPr>
          <w:lang w:eastAsia="en-GB"/>
        </w:rPr>
        <w:t xml:space="preserve">to </w:t>
      </w:r>
      <w:r>
        <w:rPr>
          <w:lang w:eastAsia="en-GB"/>
        </w:rPr>
        <w:t xml:space="preserve">Document 3M/32, </w:t>
      </w:r>
      <w:r w:rsidRPr="00663366">
        <w:rPr>
          <w:lang w:eastAsia="en-GB"/>
        </w:rPr>
        <w:t>4 November 1996</w:t>
      </w:r>
      <w:r>
        <w:rPr>
          <w:lang w:eastAsia="en-GB"/>
        </w:rPr>
        <w:t>.</w:t>
      </w:r>
    </w:p>
  </w:footnote>
  <w:footnote w:id="42">
    <w:p w14:paraId="32241C33" w14:textId="77777777" w:rsidR="00067C55" w:rsidRPr="002C128E" w:rsidRDefault="00067C55" w:rsidP="00B9168B">
      <w:pPr>
        <w:pStyle w:val="FootnoteText"/>
      </w:pPr>
      <w:r>
        <w:rPr>
          <w:rStyle w:val="FootnoteReference"/>
        </w:rPr>
        <w:footnoteRef/>
      </w:r>
      <w:r>
        <w:tab/>
        <w:t xml:space="preserve">Chairman, Radiocommunication Study Group 1 Contribution to the 1997 CPM Report. Document CPM 97-2/8, </w:t>
      </w:r>
      <w:r w:rsidRPr="00663366">
        <w:t>13 March 1997</w:t>
      </w:r>
      <w:r>
        <w:t>.</w:t>
      </w:r>
    </w:p>
  </w:footnote>
  <w:footnote w:id="43">
    <w:p w14:paraId="2E5A959D" w14:textId="77777777" w:rsidR="00067C55" w:rsidRPr="00471AA5" w:rsidRDefault="00067C55" w:rsidP="00B9168B">
      <w:pPr>
        <w:pStyle w:val="FootnoteText"/>
      </w:pPr>
      <w:r w:rsidRPr="0066552C">
        <w:rPr>
          <w:rStyle w:val="FootnoteReference"/>
        </w:rPr>
        <w:footnoteRef/>
      </w:r>
      <w:r>
        <w:tab/>
      </w:r>
      <w:r w:rsidRPr="00471AA5">
        <w:t>Task Group 1/6 Rapporteur Group</w:t>
      </w:r>
      <w:r w:rsidRPr="00663366">
        <w:t xml:space="preserve"> </w:t>
      </w:r>
      <w:r w:rsidRPr="009765B8">
        <w:t>Introduction to working document for the development of a PDNR</w:t>
      </w:r>
      <w:r>
        <w:t xml:space="preserve"> […] </w:t>
      </w:r>
      <w:r w:rsidRPr="00B66263">
        <w:t>and issues relating to its development</w:t>
      </w:r>
      <w:r>
        <w:t xml:space="preserve">. </w:t>
      </w:r>
      <w:r w:rsidRPr="00471AA5">
        <w:t xml:space="preserve">Document </w:t>
      </w:r>
      <w:r>
        <w:t>1/6-</w:t>
      </w:r>
      <w:r w:rsidRPr="00471AA5">
        <w:t>41-E</w:t>
      </w:r>
      <w:r>
        <w:t xml:space="preserve">, </w:t>
      </w:r>
      <w:r w:rsidRPr="002C128E">
        <w:t>13 October 1998</w:t>
      </w:r>
      <w:r>
        <w:t>.</w:t>
      </w:r>
      <w:r w:rsidRPr="00471AA5">
        <w:t xml:space="preserve"> </w:t>
      </w:r>
    </w:p>
  </w:footnote>
  <w:footnote w:id="44">
    <w:p w14:paraId="642A6DA4" w14:textId="77777777" w:rsidR="00067C55" w:rsidRDefault="00067C55" w:rsidP="00B9168B">
      <w:pPr>
        <w:pStyle w:val="FootnoteText"/>
      </w:pPr>
      <w:r>
        <w:rPr>
          <w:rStyle w:val="FootnoteReference"/>
        </w:rPr>
        <w:footnoteRef/>
      </w:r>
      <w:r>
        <w:tab/>
      </w:r>
      <w:r w:rsidRPr="009765B8">
        <w:t>TG</w:t>
      </w:r>
      <w:r>
        <w:t> </w:t>
      </w:r>
      <w:r w:rsidRPr="009765B8">
        <w:t>1/6 Rapporteur Group Introduction to working document for the development of a PDNR</w:t>
      </w:r>
      <w:r>
        <w:t xml:space="preserve"> […] </w:t>
      </w:r>
      <w:r w:rsidRPr="00B66263">
        <w:t>and issues relating to its development</w:t>
      </w:r>
      <w:r>
        <w:t xml:space="preserve">. </w:t>
      </w:r>
      <w:r w:rsidRPr="00B66263">
        <w:t xml:space="preserve">Document </w:t>
      </w:r>
      <w:r>
        <w:t>1/6-</w:t>
      </w:r>
      <w:r w:rsidRPr="00B66263">
        <w:t>41</w:t>
      </w:r>
      <w:r>
        <w:t>, 13 October 1998.</w:t>
      </w:r>
    </w:p>
  </w:footnote>
  <w:footnote w:id="45">
    <w:p w14:paraId="4ABD22F7" w14:textId="77777777" w:rsidR="00067C55" w:rsidRDefault="00067C55" w:rsidP="00B9168B">
      <w:pPr>
        <w:pStyle w:val="FootnoteText"/>
      </w:pPr>
      <w:r>
        <w:rPr>
          <w:rStyle w:val="FootnoteReference"/>
        </w:rPr>
        <w:footnoteRef/>
      </w:r>
      <w:r>
        <w:tab/>
        <w:t xml:space="preserve">The third of the originally scheduled four meetings. Due to the time required for editing and approval TG 1/6 ran out of time during the fourth meeting and a fifth meeting had to be scheduled. </w:t>
      </w:r>
    </w:p>
  </w:footnote>
  <w:footnote w:id="46">
    <w:p w14:paraId="54F33745" w14:textId="77777777" w:rsidR="00067C55" w:rsidRDefault="00067C55" w:rsidP="00897338">
      <w:pPr>
        <w:pStyle w:val="FootnoteText"/>
      </w:pPr>
      <w:r w:rsidRPr="00310FCA">
        <w:rPr>
          <w:rStyle w:val="FootnoteReference"/>
        </w:rPr>
        <w:footnoteRef/>
      </w:r>
      <w:r w:rsidRPr="00310FCA">
        <w:t xml:space="preserve"> Prior to the revision of Appendix </w:t>
      </w:r>
      <w:r w:rsidRPr="00310FCA">
        <w:rPr>
          <w:b/>
        </w:rPr>
        <w:t>7</w:t>
      </w:r>
      <w:r w:rsidRPr="00310FCA">
        <w:t xml:space="preserve"> at WRC-2000, Table 10 of Appendix </w:t>
      </w:r>
      <w:r w:rsidRPr="00310FCA">
        <w:rPr>
          <w:b/>
        </w:rPr>
        <w:t>7</w:t>
      </w:r>
      <w:r w:rsidRPr="00310FCA">
        <w:t xml:space="preserve"> was part of Appendix </w:t>
      </w:r>
      <w:r w:rsidRPr="00310FCA">
        <w:rPr>
          <w:b/>
        </w:rPr>
        <w:t>5</w:t>
      </w:r>
      <w:r w:rsidRPr="00310FCA">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CA56D" w14:textId="5ABA7F28" w:rsidR="00067C55" w:rsidRDefault="00067C55" w:rsidP="00DA10EA">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A507B">
      <w:rPr>
        <w:rStyle w:val="PageNumber"/>
        <w:noProof/>
      </w:rPr>
      <w:t>32</w:t>
    </w:r>
    <w:r>
      <w:rPr>
        <w:rStyle w:val="PageNumber"/>
      </w:rPr>
      <w:fldChar w:fldCharType="end"/>
    </w:r>
    <w:r>
      <w:rPr>
        <w:rStyle w:val="PageNumber"/>
      </w:rPr>
      <w:t xml:space="preserve"> -</w:t>
    </w:r>
  </w:p>
  <w:p w14:paraId="52B33E7B" w14:textId="77777777" w:rsidR="00067C55" w:rsidRDefault="00067C55" w:rsidP="009B2DAC">
    <w:pPr>
      <w:pStyle w:val="Header"/>
      <w:rPr>
        <w:lang w:val="en-US"/>
      </w:rPr>
    </w:pPr>
    <w:r>
      <w:rPr>
        <w:lang w:val="en-US"/>
      </w:rPr>
      <w:t>1/200-E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4E6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5A3F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A810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3226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1AF7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C488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E0A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D883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D6C9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867E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83C90"/>
    <w:multiLevelType w:val="hybridMultilevel"/>
    <w:tmpl w:val="3D184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E340DC"/>
    <w:multiLevelType w:val="hybridMultilevel"/>
    <w:tmpl w:val="0C542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C76303"/>
    <w:multiLevelType w:val="hybridMultilevel"/>
    <w:tmpl w:val="88B05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A3556A"/>
    <w:multiLevelType w:val="hybridMultilevel"/>
    <w:tmpl w:val="FB022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0610B3"/>
    <w:multiLevelType w:val="hybridMultilevel"/>
    <w:tmpl w:val="8862A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5D3F6A"/>
    <w:multiLevelType w:val="hybridMultilevel"/>
    <w:tmpl w:val="2DFC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90453"/>
    <w:multiLevelType w:val="hybridMultilevel"/>
    <w:tmpl w:val="4D32E498"/>
    <w:lvl w:ilvl="0" w:tplc="C9183574">
      <w:start w:val="1"/>
      <w:numFmt w:val="bullet"/>
      <w:lvlText w:val=""/>
      <w:lvlJc w:val="left"/>
      <w:pPr>
        <w:ind w:left="283" w:hanging="283"/>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F76B34"/>
    <w:multiLevelType w:val="hybridMultilevel"/>
    <w:tmpl w:val="0840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373D84"/>
    <w:multiLevelType w:val="hybridMultilevel"/>
    <w:tmpl w:val="595A4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BF0A65"/>
    <w:multiLevelType w:val="hybridMultilevel"/>
    <w:tmpl w:val="CFC0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804B68"/>
    <w:multiLevelType w:val="hybridMultilevel"/>
    <w:tmpl w:val="1E04C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C105D6"/>
    <w:multiLevelType w:val="hybridMultilevel"/>
    <w:tmpl w:val="3202D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132969"/>
    <w:multiLevelType w:val="hybridMultilevel"/>
    <w:tmpl w:val="D632F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E84B93"/>
    <w:multiLevelType w:val="hybridMultilevel"/>
    <w:tmpl w:val="EDD6D5AA"/>
    <w:lvl w:ilvl="0" w:tplc="C9183574">
      <w:start w:val="1"/>
      <w:numFmt w:val="bullet"/>
      <w:lvlText w:val=""/>
      <w:lvlJc w:val="left"/>
      <w:pPr>
        <w:ind w:left="283" w:hanging="283"/>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733FC8"/>
    <w:multiLevelType w:val="hybridMultilevel"/>
    <w:tmpl w:val="32020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8B0FAB"/>
    <w:multiLevelType w:val="hybridMultilevel"/>
    <w:tmpl w:val="6AACB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755C88"/>
    <w:multiLevelType w:val="hybridMultilevel"/>
    <w:tmpl w:val="22BE5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877C9E"/>
    <w:multiLevelType w:val="hybridMultilevel"/>
    <w:tmpl w:val="35FE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65EA9"/>
    <w:multiLevelType w:val="hybridMultilevel"/>
    <w:tmpl w:val="6ACC9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156EF2"/>
    <w:multiLevelType w:val="hybridMultilevel"/>
    <w:tmpl w:val="EF761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9461E3"/>
    <w:multiLevelType w:val="hybridMultilevel"/>
    <w:tmpl w:val="18F01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67899"/>
    <w:multiLevelType w:val="hybridMultilevel"/>
    <w:tmpl w:val="A5120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B66E7D"/>
    <w:multiLevelType w:val="hybridMultilevel"/>
    <w:tmpl w:val="03AE7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C055D3"/>
    <w:multiLevelType w:val="hybridMultilevel"/>
    <w:tmpl w:val="73C02F8A"/>
    <w:lvl w:ilvl="0" w:tplc="C9183574">
      <w:start w:val="1"/>
      <w:numFmt w:val="bullet"/>
      <w:lvlText w:val=""/>
      <w:lvlJc w:val="left"/>
      <w:pPr>
        <w:ind w:left="283" w:hanging="283"/>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AC4CA2"/>
    <w:multiLevelType w:val="hybridMultilevel"/>
    <w:tmpl w:val="7BB2C648"/>
    <w:lvl w:ilvl="0" w:tplc="645A6BBA">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55E07"/>
    <w:multiLevelType w:val="hybridMultilevel"/>
    <w:tmpl w:val="1CF43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14"/>
  </w:num>
  <w:num w:numId="4">
    <w:abstractNumId w:val="17"/>
  </w:num>
  <w:num w:numId="5">
    <w:abstractNumId w:val="35"/>
  </w:num>
  <w:num w:numId="6">
    <w:abstractNumId w:val="25"/>
  </w:num>
  <w:num w:numId="7">
    <w:abstractNumId w:val="31"/>
  </w:num>
  <w:num w:numId="8">
    <w:abstractNumId w:val="34"/>
  </w:num>
  <w:num w:numId="9">
    <w:abstractNumId w:val="18"/>
  </w:num>
  <w:num w:numId="10">
    <w:abstractNumId w:val="21"/>
  </w:num>
  <w:num w:numId="11">
    <w:abstractNumId w:val="27"/>
  </w:num>
  <w:num w:numId="12">
    <w:abstractNumId w:val="11"/>
  </w:num>
  <w:num w:numId="13">
    <w:abstractNumId w:val="19"/>
  </w:num>
  <w:num w:numId="14">
    <w:abstractNumId w:val="22"/>
  </w:num>
  <w:num w:numId="15">
    <w:abstractNumId w:val="12"/>
  </w:num>
  <w:num w:numId="16">
    <w:abstractNumId w:val="10"/>
  </w:num>
  <w:num w:numId="17">
    <w:abstractNumId w:val="13"/>
  </w:num>
  <w:num w:numId="18">
    <w:abstractNumId w:val="29"/>
  </w:num>
  <w:num w:numId="19">
    <w:abstractNumId w:val="15"/>
  </w:num>
  <w:num w:numId="20">
    <w:abstractNumId w:val="26"/>
  </w:num>
  <w:num w:numId="21">
    <w:abstractNumId w:val="32"/>
  </w:num>
  <w:num w:numId="22">
    <w:abstractNumId w:val="23"/>
  </w:num>
  <w:num w:numId="23">
    <w:abstractNumId w:val="33"/>
  </w:num>
  <w:num w:numId="24">
    <w:abstractNumId w:val="2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fr-CH"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D74"/>
    <w:rsid w:val="000069D4"/>
    <w:rsid w:val="000174AD"/>
    <w:rsid w:val="00030346"/>
    <w:rsid w:val="00047A1D"/>
    <w:rsid w:val="000604B9"/>
    <w:rsid w:val="00067C55"/>
    <w:rsid w:val="000A6212"/>
    <w:rsid w:val="000A7D55"/>
    <w:rsid w:val="000C12C8"/>
    <w:rsid w:val="000C2E8E"/>
    <w:rsid w:val="000C5E7C"/>
    <w:rsid w:val="000E0E7C"/>
    <w:rsid w:val="000F1B4B"/>
    <w:rsid w:val="00104896"/>
    <w:rsid w:val="0012744F"/>
    <w:rsid w:val="00131178"/>
    <w:rsid w:val="00156F66"/>
    <w:rsid w:val="00163271"/>
    <w:rsid w:val="001754F5"/>
    <w:rsid w:val="001807F2"/>
    <w:rsid w:val="00182528"/>
    <w:rsid w:val="0018500B"/>
    <w:rsid w:val="0018518C"/>
    <w:rsid w:val="00196A19"/>
    <w:rsid w:val="001C1A97"/>
    <w:rsid w:val="00202DC1"/>
    <w:rsid w:val="002116EE"/>
    <w:rsid w:val="002309D8"/>
    <w:rsid w:val="00243F58"/>
    <w:rsid w:val="00256CA8"/>
    <w:rsid w:val="00293720"/>
    <w:rsid w:val="002A7FE2"/>
    <w:rsid w:val="002B3137"/>
    <w:rsid w:val="002E1B4F"/>
    <w:rsid w:val="002F2E67"/>
    <w:rsid w:val="002F7CB3"/>
    <w:rsid w:val="00315546"/>
    <w:rsid w:val="00330567"/>
    <w:rsid w:val="00383820"/>
    <w:rsid w:val="00386A9D"/>
    <w:rsid w:val="00391081"/>
    <w:rsid w:val="003B2789"/>
    <w:rsid w:val="003B4366"/>
    <w:rsid w:val="003C13CE"/>
    <w:rsid w:val="003C697E"/>
    <w:rsid w:val="003D765A"/>
    <w:rsid w:val="003E2518"/>
    <w:rsid w:val="003E7CEF"/>
    <w:rsid w:val="004A6C08"/>
    <w:rsid w:val="004B1EF7"/>
    <w:rsid w:val="004B37A7"/>
    <w:rsid w:val="004B3FAD"/>
    <w:rsid w:val="004B7C66"/>
    <w:rsid w:val="004C5749"/>
    <w:rsid w:val="004D59AF"/>
    <w:rsid w:val="00501DCA"/>
    <w:rsid w:val="00513A47"/>
    <w:rsid w:val="00530AAF"/>
    <w:rsid w:val="00534847"/>
    <w:rsid w:val="005408DF"/>
    <w:rsid w:val="00572BEC"/>
    <w:rsid w:val="00573344"/>
    <w:rsid w:val="00583F9B"/>
    <w:rsid w:val="005908B6"/>
    <w:rsid w:val="005A20FE"/>
    <w:rsid w:val="005B0D29"/>
    <w:rsid w:val="005B606D"/>
    <w:rsid w:val="005E1340"/>
    <w:rsid w:val="005E5C10"/>
    <w:rsid w:val="005F2C78"/>
    <w:rsid w:val="006105FD"/>
    <w:rsid w:val="006144E4"/>
    <w:rsid w:val="00620BD4"/>
    <w:rsid w:val="00650299"/>
    <w:rsid w:val="00655FC5"/>
    <w:rsid w:val="00674D9A"/>
    <w:rsid w:val="006C66B2"/>
    <w:rsid w:val="00794A0D"/>
    <w:rsid w:val="00796B50"/>
    <w:rsid w:val="007B5BF1"/>
    <w:rsid w:val="007E46CE"/>
    <w:rsid w:val="00814E0A"/>
    <w:rsid w:val="00822581"/>
    <w:rsid w:val="008309DD"/>
    <w:rsid w:val="0083227A"/>
    <w:rsid w:val="00847711"/>
    <w:rsid w:val="00856A77"/>
    <w:rsid w:val="00866900"/>
    <w:rsid w:val="00876A8A"/>
    <w:rsid w:val="00881BA1"/>
    <w:rsid w:val="00897338"/>
    <w:rsid w:val="008C2302"/>
    <w:rsid w:val="008C26B8"/>
    <w:rsid w:val="008C2F09"/>
    <w:rsid w:val="008F1E99"/>
    <w:rsid w:val="008F208F"/>
    <w:rsid w:val="00906008"/>
    <w:rsid w:val="009079B7"/>
    <w:rsid w:val="00956205"/>
    <w:rsid w:val="00973270"/>
    <w:rsid w:val="00982084"/>
    <w:rsid w:val="00995963"/>
    <w:rsid w:val="009B2DAC"/>
    <w:rsid w:val="009B61EB"/>
    <w:rsid w:val="009C2064"/>
    <w:rsid w:val="009D1697"/>
    <w:rsid w:val="009E1C9C"/>
    <w:rsid w:val="009F3A46"/>
    <w:rsid w:val="009F6520"/>
    <w:rsid w:val="00A00CA4"/>
    <w:rsid w:val="00A014F8"/>
    <w:rsid w:val="00A5173C"/>
    <w:rsid w:val="00A61AEF"/>
    <w:rsid w:val="00AD2345"/>
    <w:rsid w:val="00AF0328"/>
    <w:rsid w:val="00AF173A"/>
    <w:rsid w:val="00AF4FD4"/>
    <w:rsid w:val="00B066A4"/>
    <w:rsid w:val="00B07A13"/>
    <w:rsid w:val="00B4279B"/>
    <w:rsid w:val="00B45FC9"/>
    <w:rsid w:val="00B708A2"/>
    <w:rsid w:val="00B734C5"/>
    <w:rsid w:val="00B76F35"/>
    <w:rsid w:val="00B81138"/>
    <w:rsid w:val="00B9168B"/>
    <w:rsid w:val="00BA507B"/>
    <w:rsid w:val="00BA55B8"/>
    <w:rsid w:val="00BC7CCF"/>
    <w:rsid w:val="00BE470B"/>
    <w:rsid w:val="00BF116F"/>
    <w:rsid w:val="00BF7863"/>
    <w:rsid w:val="00C021AC"/>
    <w:rsid w:val="00C20203"/>
    <w:rsid w:val="00C57A91"/>
    <w:rsid w:val="00CA180F"/>
    <w:rsid w:val="00CC01C2"/>
    <w:rsid w:val="00CE39D7"/>
    <w:rsid w:val="00CF21F2"/>
    <w:rsid w:val="00CF2DA8"/>
    <w:rsid w:val="00CF7D2C"/>
    <w:rsid w:val="00D02712"/>
    <w:rsid w:val="00D046A7"/>
    <w:rsid w:val="00D214D0"/>
    <w:rsid w:val="00D41033"/>
    <w:rsid w:val="00D45D74"/>
    <w:rsid w:val="00D6546B"/>
    <w:rsid w:val="00D87A80"/>
    <w:rsid w:val="00D97781"/>
    <w:rsid w:val="00DA10EA"/>
    <w:rsid w:val="00DB178B"/>
    <w:rsid w:val="00DC17D3"/>
    <w:rsid w:val="00DD4BED"/>
    <w:rsid w:val="00DE39F0"/>
    <w:rsid w:val="00DE4268"/>
    <w:rsid w:val="00DF0AF3"/>
    <w:rsid w:val="00DF7E9F"/>
    <w:rsid w:val="00E100B9"/>
    <w:rsid w:val="00E24C3B"/>
    <w:rsid w:val="00E27D7E"/>
    <w:rsid w:val="00E42E13"/>
    <w:rsid w:val="00E56D5C"/>
    <w:rsid w:val="00E61256"/>
    <w:rsid w:val="00E6257C"/>
    <w:rsid w:val="00E63C59"/>
    <w:rsid w:val="00E852AC"/>
    <w:rsid w:val="00EA567C"/>
    <w:rsid w:val="00EB62A4"/>
    <w:rsid w:val="00EF1725"/>
    <w:rsid w:val="00F1574B"/>
    <w:rsid w:val="00F25662"/>
    <w:rsid w:val="00F5670D"/>
    <w:rsid w:val="00FA124A"/>
    <w:rsid w:val="00FA6A4B"/>
    <w:rsid w:val="00FC08DD"/>
    <w:rsid w:val="00FC2316"/>
    <w:rsid w:val="00FC2CFD"/>
    <w:rsid w:val="00FF50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7C20A5"/>
  <w15:docId w15:val="{007278BC-ACD4-40A3-957F-576839C89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uiPriority w:val="39"/>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B9168B"/>
    <w:rPr>
      <w:color w:val="0000FF" w:themeColor="hyperlink"/>
      <w:u w:val="single"/>
    </w:rPr>
  </w:style>
  <w:style w:type="character" w:customStyle="1" w:styleId="SourceChar">
    <w:name w:val="Source Char"/>
    <w:link w:val="Source"/>
    <w:uiPriority w:val="99"/>
    <w:locked/>
    <w:rsid w:val="00B9168B"/>
    <w:rPr>
      <w:rFonts w:ascii="Times New Roman" w:hAnsi="Times New Roman"/>
      <w:b/>
      <w:sz w:val="28"/>
      <w:lang w:val="en-GB" w:eastAsia="en-US"/>
    </w:rPr>
  </w:style>
  <w:style w:type="table" w:styleId="TableGrid">
    <w:name w:val="Table Grid"/>
    <w:basedOn w:val="TableNormal"/>
    <w:uiPriority w:val="59"/>
    <w:rsid w:val="00B9168B"/>
    <w:rPr>
      <w:rFonts w:asciiTheme="minorHAnsi" w:eastAsia="Droid Sans"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rsid w:val="00B9168B"/>
    <w:pPr>
      <w:spacing w:before="0"/>
    </w:pPr>
    <w:rPr>
      <w:sz w:val="20"/>
    </w:rPr>
  </w:style>
  <w:style w:type="paragraph" w:styleId="TOCHeading">
    <w:name w:val="TOC Heading"/>
    <w:basedOn w:val="Heading1"/>
    <w:next w:val="Normal"/>
    <w:uiPriority w:val="39"/>
    <w:unhideWhenUsed/>
    <w:qFormat/>
    <w:rsid w:val="00B9168B"/>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eastAsia="ja-JP"/>
    </w:rPr>
  </w:style>
  <w:style w:type="paragraph" w:styleId="BalloonText">
    <w:name w:val="Balloon Text"/>
    <w:basedOn w:val="Normal"/>
    <w:link w:val="BalloonTextChar"/>
    <w:semiHidden/>
    <w:unhideWhenUsed/>
    <w:rsid w:val="00B9168B"/>
    <w:pPr>
      <w:spacing w:before="0"/>
    </w:pPr>
    <w:rPr>
      <w:sz w:val="18"/>
      <w:szCs w:val="18"/>
    </w:rPr>
  </w:style>
  <w:style w:type="character" w:customStyle="1" w:styleId="BalloonTextChar">
    <w:name w:val="Balloon Text Char"/>
    <w:basedOn w:val="DefaultParagraphFont"/>
    <w:link w:val="BalloonText"/>
    <w:semiHidden/>
    <w:rsid w:val="00B9168B"/>
    <w:rPr>
      <w:rFonts w:ascii="Times New Roman" w:hAnsi="Times New Roman"/>
      <w:sz w:val="18"/>
      <w:szCs w:val="18"/>
      <w:lang w:val="en-GB" w:eastAsia="en-US"/>
    </w:rPr>
  </w:style>
  <w:style w:type="character" w:customStyle="1" w:styleId="enumlev1Char">
    <w:name w:val="enumlev1 Char"/>
    <w:link w:val="enumlev1"/>
    <w:uiPriority w:val="99"/>
    <w:locked/>
    <w:rsid w:val="00CF2DA8"/>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R-REC-SM.1448/en" TargetMode="External"/><Relationship Id="rId18" Type="http://schemas.openxmlformats.org/officeDocument/2006/relationships/hyperlink" Target="http://www.itu.int/rec/R-REC-SM.1448/en"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itu.int/rec/R-REC-P.620/en" TargetMode="External"/><Relationship Id="rId17" Type="http://schemas.openxmlformats.org/officeDocument/2006/relationships/hyperlink" Target="http://www.itu.int/rec/R-REC-SM.1448/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tu.int/rec/R-REC-SM.1448/en" TargetMode="External"/><Relationship Id="rId20" Type="http://schemas.openxmlformats.org/officeDocument/2006/relationships/hyperlink" Target="https://www.itu.int/md/R15-WP1A-C-0340/e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SM.1448/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rec/R-REC-P.620/en" TargetMode="External"/><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hyperlink" Target="http://www.itu.int/rec/R-REC-SM.1448/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R-REC-SM.1448/en"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15-WP3M-C-003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9461-B75A-45C0-A082-725C8B7DDECD}">
  <ds:schemaRefs>
    <ds:schemaRef ds:uri="http://schemas.microsoft.com/sharepoint/v3/contenttype/forms"/>
  </ds:schemaRefs>
</ds:datastoreItem>
</file>

<file path=customXml/itemProps2.xml><?xml version="1.0" encoding="utf-8"?>
<ds:datastoreItem xmlns:ds="http://schemas.openxmlformats.org/officeDocument/2006/customXml" ds:itemID="{90B3F904-2D62-4B01-9637-20EF02142641}">
  <ds:schemaRefs>
    <ds:schemaRef ds:uri="http://schemas.microsoft.com/office/infopath/2007/PartnerControls"/>
    <ds:schemaRef ds:uri="http://schemas.microsoft.com/office/2006/documentManagement/types"/>
    <ds:schemaRef ds:uri="http://purl.org/dc/dcmitype/"/>
    <ds:schemaRef ds:uri="http://purl.org/dc/terms/"/>
    <ds:schemaRef ds:uri="345e7ae8-5b21-45b1-ba79-c488165d002b"/>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C0AF5E9-E339-4BD7-9081-93128B300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24</TotalTime>
  <Pages>32</Pages>
  <Words>13354</Words>
  <Characters>76118</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SONG</dc:creator>
  <cp:lastModifiedBy>Gomez, Yoanni</cp:lastModifiedBy>
  <cp:revision>3</cp:revision>
  <cp:lastPrinted>2019-06-05T11:42:00Z</cp:lastPrinted>
  <dcterms:created xsi:type="dcterms:W3CDTF">2019-11-07T06:39:00Z</dcterms:created>
  <dcterms:modified xsi:type="dcterms:W3CDTF">2019-11-07T07:03:00Z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ies>
</file>